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D9" w:rsidRPr="003A3E55" w:rsidRDefault="00412A4C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412A4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666411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ESTADO PLURINACIONAL DE BOLIVIA, COLOMBIA, ECUADOR, PERÚ</w:t>
            </w:r>
            <w:bookmarkEnd w:id="1"/>
          </w:p>
          <w:p w:rsidR="00A52F73" w:rsidRPr="003A3E55" w:rsidRDefault="00412A4C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AF251E" w:rsidRPr="003A3E55" w:rsidRDefault="00412A4C" w:rsidP="00873EB4">
            <w:pPr>
              <w:spacing w:after="120"/>
            </w:pPr>
            <w:r w:rsidRPr="003A3E55">
              <w:t xml:space="preserve">Secretaría General de la Comunidad Andina (General </w:t>
            </w:r>
            <w:proofErr w:type="spellStart"/>
            <w:r w:rsidRPr="003A3E55">
              <w:t>Secretariat</w:t>
            </w:r>
            <w:proofErr w:type="spellEnd"/>
            <w:r w:rsidRPr="003A3E55">
              <w:t xml:space="preserve"> of </w:t>
            </w:r>
            <w:proofErr w:type="spellStart"/>
            <w:r w:rsidRPr="003A3E55">
              <w:t>the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Andean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Community</w:t>
            </w:r>
            <w:proofErr w:type="spellEnd"/>
            <w:r w:rsidRPr="003A3E55">
              <w:t>)</w:t>
            </w:r>
            <w:bookmarkEnd w:id="5"/>
          </w:p>
          <w:p w:rsidR="00A52F73" w:rsidRPr="003A3E55" w:rsidRDefault="00412A4C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</w:t>
            </w:r>
            <w:r w:rsidRPr="003A3E55">
              <w:rPr>
                <w:b/>
              </w:rPr>
              <w:t xml:space="preserve">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A22D74" w:rsidRPr="006A63E9" w:rsidRDefault="00412A4C" w:rsidP="008849EF">
            <w:r w:rsidRPr="006A63E9">
              <w:t>Ministerio de Desarrollo Productivo y Economía Plural (MDPyEP)</w:t>
            </w:r>
          </w:p>
          <w:p w:rsidR="00A22D74" w:rsidRPr="006A63E9" w:rsidRDefault="00412A4C" w:rsidP="008849EF">
            <w:r w:rsidRPr="006A63E9">
              <w:t xml:space="preserve">Av. Mariscal Santa Cruz, Edif. Centro </w:t>
            </w:r>
            <w:r w:rsidRPr="006A63E9">
              <w:t>de Comunicaciones, piso 17</w:t>
            </w:r>
          </w:p>
          <w:p w:rsidR="00A22D74" w:rsidRPr="006A63E9" w:rsidRDefault="00412A4C" w:rsidP="008849EF">
            <w:r w:rsidRPr="006A63E9">
              <w:t>La Paz, Bolivia</w:t>
            </w:r>
          </w:p>
          <w:p w:rsidR="00A22D74" w:rsidRPr="006A63E9" w:rsidRDefault="00412A4C" w:rsidP="008849EF">
            <w:r w:rsidRPr="006A63E9">
              <w:t>Telf.: +591 (2) 2184444</w:t>
            </w:r>
          </w:p>
          <w:p w:rsidR="00A22D74" w:rsidRPr="006A63E9" w:rsidRDefault="00412A4C" w:rsidP="008849EF">
            <w:r w:rsidRPr="006A63E9">
              <w:t>Fax: +591 (2) 2316942</w:t>
            </w:r>
          </w:p>
          <w:p w:rsidR="00A22D74" w:rsidRPr="006A63E9" w:rsidRDefault="00412A4C" w:rsidP="008849EF">
            <w:r w:rsidRPr="006A63E9">
              <w:t>móvil: +591 701 900 13</w:t>
            </w:r>
          </w:p>
          <w:p w:rsidR="00A22D74" w:rsidRPr="006A63E9" w:rsidRDefault="00412A4C" w:rsidP="008849EF">
            <w:r w:rsidRPr="006A63E9">
              <w:t xml:space="preserve">e-mail: </w:t>
            </w:r>
            <w:hyperlink r:id="rId7" w:history="1">
              <w:r w:rsidRPr="006A63E9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22D74" w:rsidRPr="006A63E9" w:rsidRDefault="00412A4C" w:rsidP="008849EF">
            <w:r w:rsidRPr="006A63E9">
              <w:t xml:space="preserve">e-mail: </w:t>
            </w:r>
            <w:hyperlink r:id="rId8" w:history="1">
              <w:r w:rsidRPr="006A63E9">
                <w:rPr>
                  <w:color w:val="0000FF"/>
                  <w:u w:val="single"/>
                </w:rPr>
                <w:t>andres.ledezma@produccion.gob.bo</w:t>
              </w:r>
            </w:hyperlink>
          </w:p>
          <w:p w:rsidR="00A22D74" w:rsidRPr="006A63E9" w:rsidRDefault="00412A4C" w:rsidP="008849EF">
            <w:r w:rsidRPr="006A63E9">
              <w:t xml:space="preserve">e-mail: </w:t>
            </w:r>
            <w:hyperlink r:id="rId9" w:history="1">
              <w:r w:rsidRPr="006A63E9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22D74" w:rsidRPr="006A63E9" w:rsidRDefault="00412A4C" w:rsidP="008849EF">
            <w:pPr>
              <w:spacing w:after="120"/>
            </w:pPr>
            <w:r w:rsidRPr="006A63E9">
              <w:t>web: www.produccion.gob.bo</w:t>
            </w:r>
            <w:bookmarkEnd w:id="7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EXTRACTOS CURTIENTES O TINTÓREOS; TANINOS Y SUS DERIVADOS; PIGMENTOS Y DEMÁS MATERIAS COLORANTES; PINTURAS Y BARNICES; MÁSTIQUES; TINTAS (Código(s) del SA: 32); ACEITES ESENCIALES Y RESINOIDES; PREPARACIONES DE PERFUMERÍA, DE TOCADOR O DE COSMÉTICA (Código(s) del SA: 33); JABONES, AGENTES DE SUPERFICIE ORGÁNICOS, PREPARACIONES PARA LAVAR, PREPARACIONES LUBRICANTES, CERAS ARTIFICIALES, CERAS PREPARADAS, PRODUCTOS DE LIMPIEZA, VELAS Y ARTÍCULOS SIMILARES, PASTAS PARA MODELAR, «CERAS PARA ODONTOLOGÍA» Y PREPARACIONES PARA ODONTOLOGÍA A BASE DE YESO FRAGUABLE (Código(s) del SA: 34); PRODUCTOS DIVERSOS DE LAS INDUSTRIAS QUÍMICAS (Código(s) del SA: 38); PAPEL Y CARTÓN; MANUFACTURAS DE PASTA DE CELULOSA, DE PAPEL O CARTÓN (Código(s) del SA: 48); MANUFACTURAS DIVERSAS (Código(s) del SA: 96)</w:t>
            </w:r>
            <w:bookmarkEnd w:id="22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bookmarkStart w:id="25" w:name="_GoBack"/>
            <w:r w:rsidR="00AF251E" w:rsidRPr="003A3E55">
              <w:t>Proyecto sobre la "Armonización de legislaciones en materia de productos de higiene doméstica y productos absorbentes de higiene personal"</w:t>
            </w:r>
            <w:bookmarkEnd w:id="25"/>
            <w:r w:rsidR="00AF251E" w:rsidRPr="003A3E55">
              <w:t>; (18 página(s), en español)</w:t>
            </w:r>
            <w:bookmarkEnd w:id="24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</w:t>
            </w:r>
            <w:r w:rsidRPr="003A3E55">
              <w:rPr>
                <w:b/>
              </w:rPr>
              <w:t>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7" w:name="sps6a"/>
            <w:r w:rsidR="00AF251E" w:rsidRPr="003A3E55">
              <w:t>El Proyecto de Decisión contiene las disposiciones que regula los regímenes sanitarios, de control de calidad y vigilancia sanitaria en relación con la producción, procesamiento, envasado, acondicionamiento, importación, almacenamiento, expendio, expendio por sistemas de "</w:t>
            </w:r>
            <w:proofErr w:type="spellStart"/>
            <w:r w:rsidR="00AF251E" w:rsidRPr="003A3E55">
              <w:t>refill</w:t>
            </w:r>
            <w:proofErr w:type="spellEnd"/>
            <w:r w:rsidR="00AF251E" w:rsidRPr="003A3E55">
              <w:t>" o rellano y comercialización de los productos de higiene doméstica y productos absorbentes de higiene personal.</w:t>
            </w:r>
            <w:bookmarkEnd w:id="27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A5462B">
            <w:pPr>
              <w:spacing w:before="120" w:after="120"/>
            </w:pPr>
            <w:bookmarkStart w:id="28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8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9" w:name="sps7f"/>
            <w:r w:rsidR="00412DAF" w:rsidRPr="003A3E55">
              <w:t>Los productos bajo el alcance de la presente Decisión que se comercialicen dentro de la subregión, no deberán perjudicar la salud humana cuando se apliquen en las condiciones normales o razonablemente previsibles de uso, teniendo presentes particularmente, la presentación del producto, su etiquetado y las eventuales instrucciones de uso y eliminación, así como cualquier otra indicación o información que proceda del fabricante o del responsable de comercialización del producto. No obstante, la presencia de tales advertencias no exime del cumplimiento de las demás obligaciones previstas en la presente Decisión; Protección de la salud o seguridad humanas</w:t>
            </w:r>
            <w:bookmarkEnd w:id="29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75C7" w:rsidRPr="00A06BA0" w:rsidRDefault="00412A4C" w:rsidP="00702623">
            <w:pPr>
              <w:spacing w:before="120" w:after="120"/>
            </w:pPr>
            <w:bookmarkStart w:id="30" w:name="X_TBT_Reg_8A"/>
            <w:r w:rsidRPr="003A3E55">
              <w:rPr>
                <w:b/>
              </w:rPr>
              <w:t>Documentos pertinentes</w:t>
            </w:r>
            <w:bookmarkEnd w:id="3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1" w:name="sps9a"/>
          </w:p>
          <w:p w:rsidR="00AF251E" w:rsidRPr="003A3E55" w:rsidRDefault="00412A4C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Decisión Andina 706 Armonización de legislaciones en materia de productos de higiene</w:t>
            </w:r>
            <w:r w:rsidRPr="003A3E55">
              <w:t xml:space="preserve"> doméstica y productos absorbentes de higiene personal.</w:t>
            </w:r>
          </w:p>
          <w:p w:rsidR="00AF251E" w:rsidRPr="003A3E55" w:rsidRDefault="00412A4C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Decisión 784 Modificación de la Decisión 706.</w:t>
            </w:r>
          </w:p>
          <w:p w:rsidR="00AF251E" w:rsidRPr="003A3E55" w:rsidRDefault="00412A4C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Decisión 826 Notificación sanitaria obligatoria de los productos ambientales regulados por la Decisión 706, y</w:t>
            </w:r>
          </w:p>
          <w:p w:rsidR="00AF251E" w:rsidRPr="003A3E55" w:rsidRDefault="00412A4C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Decisión 908 Modificación de la Decisión 706</w:t>
            </w:r>
            <w:bookmarkEnd w:id="31"/>
          </w:p>
        </w:tc>
      </w:tr>
      <w:tr w:rsidR="00666411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412A4C" w:rsidP="009F7158">
            <w:pPr>
              <w:spacing w:before="120" w:after="120"/>
              <w:rPr>
                <w:bCs/>
              </w:rPr>
            </w:pPr>
            <w:bookmarkStart w:id="32" w:name="X_TBT_Reg_9A"/>
            <w:r w:rsidRPr="003A3E55">
              <w:rPr>
                <w:b/>
              </w:rPr>
              <w:t>Fecha propuesta de adopción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0a"/>
            <w:bookmarkStart w:id="34" w:name="sps10b"/>
            <w:bookmarkEnd w:id="33"/>
            <w:r w:rsidRPr="006A63E9">
              <w:t>Por determinar</w:t>
            </w:r>
            <w:bookmarkEnd w:id="34"/>
          </w:p>
          <w:p w:rsidR="00AF251E" w:rsidRPr="003A3E55" w:rsidRDefault="00412A4C" w:rsidP="009F7158">
            <w:pPr>
              <w:spacing w:after="120"/>
              <w:rPr>
                <w:b/>
              </w:rPr>
            </w:pPr>
            <w:bookmarkStart w:id="35" w:name="X_TBT_Reg_9B"/>
            <w:r w:rsidRPr="003A3E55">
              <w:rPr>
                <w:b/>
              </w:rPr>
              <w:t>Fecha propuesta de entrada en vigor</w:t>
            </w:r>
            <w:bookmarkEnd w:id="35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6" w:name="sps11a"/>
            <w:bookmarkStart w:id="37" w:name="sps11b"/>
            <w:bookmarkEnd w:id="36"/>
            <w:r w:rsidRPr="006A63E9">
              <w:t>A partir de los veinticuatro (24) meses siguientes de la fecha de su publicación en la Gaceta Oficial del Acuerdo de Cartagena.</w:t>
            </w:r>
            <w:bookmarkEnd w:id="37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12A4C" w:rsidP="003A3E55">
            <w:pPr>
              <w:spacing w:before="120" w:after="120"/>
            </w:pPr>
            <w:bookmarkStart w:id="38" w:name="X_TBT_Reg_10A"/>
            <w:r w:rsidRPr="003A3E55">
              <w:rPr>
                <w:b/>
              </w:rPr>
              <w:t xml:space="preserve">Fecha límite para la presentación de </w:t>
            </w:r>
            <w:r w:rsidRPr="003A3E55">
              <w:rPr>
                <w:b/>
              </w:rPr>
              <w:t>observaciones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2a"/>
            <w:r w:rsidR="00AF251E" w:rsidRPr="003A3E55">
              <w:t>60 días a partir de la notificación</w:t>
            </w:r>
            <w:bookmarkEnd w:id="39"/>
          </w:p>
        </w:tc>
      </w:tr>
      <w:tr w:rsidR="00666411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412A4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412A4C" w:rsidP="00AD2FD7">
            <w:pPr>
              <w:keepNext/>
              <w:keepLines/>
              <w:spacing w:before="120" w:after="120"/>
            </w:pPr>
            <w:bookmarkStart w:id="40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41" w:name="sps13b"/>
            <w:r w:rsidRPr="003A3E55">
              <w:rPr>
                <w:b/>
              </w:rPr>
              <w:t> </w:t>
            </w:r>
            <w:bookmarkEnd w:id="41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4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2" w:name="sps13c"/>
          </w:p>
          <w:p w:rsidR="00AF251E" w:rsidRPr="003A3E55" w:rsidRDefault="00412A4C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Punto focal: Richard Wilmer Rojas Ramos, Director General de Servicios y Calidad Industrial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Punto alterno: Andrés Gerardo Ledezma Araníbar, Profesional en Aná</w:t>
            </w:r>
            <w:r w:rsidRPr="003A3E55">
              <w:t>lisis de Reglamentación Técnica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Tel: (+591) 2 2184377</w:t>
            </w:r>
          </w:p>
          <w:p w:rsidR="00417ED3" w:rsidRDefault="00412A4C" w:rsidP="00AD2FD7">
            <w:pPr>
              <w:keepNext/>
              <w:keepLines/>
            </w:pPr>
            <w:r w:rsidRPr="003A3E55">
              <w:t xml:space="preserve">Correo electrónico: </w:t>
            </w:r>
          </w:p>
          <w:p w:rsidR="00417ED3" w:rsidRDefault="00412A4C" w:rsidP="00AD2FD7">
            <w:pPr>
              <w:keepNext/>
              <w:keepLines/>
            </w:pPr>
            <w:hyperlink r:id="rId10" w:history="1">
              <w:r w:rsidRPr="003A3E55">
                <w:rPr>
                  <w:color w:val="0000FF"/>
                  <w:u w:val="single"/>
                </w:rPr>
                <w:t>richard.rojas@produccion.gob.bo</w:t>
              </w:r>
            </w:hyperlink>
            <w:r w:rsidRPr="003A3E55">
              <w:t xml:space="preserve">; </w:t>
            </w:r>
          </w:p>
          <w:p w:rsidR="00AF251E" w:rsidRPr="003A3E55" w:rsidRDefault="00412A4C" w:rsidP="00AD2FD7">
            <w:pPr>
              <w:keepNext/>
              <w:keepLines/>
            </w:pPr>
            <w:hyperlink r:id="rId11" w:history="1">
              <w:r w:rsidRPr="003A3E55">
                <w:rPr>
                  <w:color w:val="0000FF"/>
                  <w:u w:val="single"/>
                </w:rPr>
                <w:t>andres.ledezma@produccion.gob.bo</w:t>
              </w:r>
            </w:hyperlink>
          </w:p>
          <w:p w:rsidR="00AF251E" w:rsidRPr="003A3E55" w:rsidRDefault="00412A4C" w:rsidP="00AD2FD7">
            <w:pPr>
              <w:keepNext/>
              <w:keepLines/>
            </w:pPr>
            <w:r w:rsidRPr="003A3E55">
              <w:t>Regla</w:t>
            </w:r>
            <w:r w:rsidRPr="003A3E55">
              <w:t>mentación Técnica: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 xml:space="preserve">Av. </w:t>
            </w:r>
            <w:proofErr w:type="spellStart"/>
            <w:r w:rsidRPr="003A3E55">
              <w:t>Mcal</w:t>
            </w:r>
            <w:proofErr w:type="spellEnd"/>
            <w:r w:rsidRPr="003A3E55">
              <w:t>. Santa Cruz, Edif. Centro de Comunicaciones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La Paz – Bolivia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>Tel: (+591) (2) 2184377</w:t>
            </w:r>
          </w:p>
          <w:p w:rsidR="00AF251E" w:rsidRPr="003A3E55" w:rsidRDefault="00412A4C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12" w:history="1">
              <w:r w:rsidRPr="003A3E55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F251E" w:rsidRPr="003A3E55" w:rsidRDefault="00412A4C" w:rsidP="00AD2FD7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3" w:tgtFrame="_blank" w:history="1">
              <w:r w:rsidRPr="003A3E55">
                <w:rPr>
                  <w:color w:val="0000FF"/>
                  <w:u w:val="single"/>
                </w:rPr>
                <w:t>https://members.wto.org/cr</w:t>
              </w:r>
              <w:r w:rsidRPr="003A3E55">
                <w:rPr>
                  <w:color w:val="0000FF"/>
                  <w:u w:val="single"/>
                </w:rPr>
                <w:t>n</w:t>
              </w:r>
              <w:r w:rsidRPr="003A3E55">
                <w:rPr>
                  <w:color w:val="0000FF"/>
                  <w:u w:val="single"/>
                </w:rPr>
                <w:t>attachments/2024/TBT/BOL/24_02531_00_s.pdf</w:t>
              </w:r>
            </w:hyperlink>
            <w:bookmarkEnd w:id="42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4C" w:rsidRDefault="00412A4C">
      <w:r>
        <w:separator/>
      </w:r>
    </w:p>
  </w:endnote>
  <w:endnote w:type="continuationSeparator" w:id="0">
    <w:p w:rsidR="00412A4C" w:rsidRDefault="004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412A4C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3A3E55" w:rsidRDefault="00412A4C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3A3E55" w:rsidRDefault="00412A4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4C" w:rsidRDefault="00412A4C">
      <w:r>
        <w:separator/>
      </w:r>
    </w:p>
  </w:footnote>
  <w:footnote w:type="continuationSeparator" w:id="0">
    <w:p w:rsidR="00412A4C" w:rsidRDefault="0041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412A4C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412A4C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417ED3" w:rsidRDefault="00412A4C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43" w:name="spsSymbolHeader"/>
    <w:r w:rsidRPr="00417ED3">
      <w:rPr>
        <w:lang w:val="en-US"/>
      </w:rPr>
      <w:t>G/TBT/N/BOL/27, G/TBT/N/COL/268, G/TBT/N/ECU/524, G/TBT/N/PER/157</w:t>
    </w:r>
    <w:bookmarkEnd w:id="43"/>
  </w:p>
  <w:p w:rsidR="00B531D9" w:rsidRPr="00417ED3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B531D9" w:rsidRPr="003A3E55" w:rsidRDefault="00412A4C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="00417ED3">
      <w:rPr>
        <w:noProof/>
      </w:rPr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66411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4"/>
    <w:tr w:rsidR="00666411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412A4C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11604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666411" w:rsidRPr="00417ED3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417ED3" w:rsidRDefault="00412A4C" w:rsidP="005D4F0E">
          <w:pPr>
            <w:jc w:val="right"/>
            <w:rPr>
              <w:b/>
              <w:szCs w:val="18"/>
              <w:lang w:val="en-US"/>
            </w:rPr>
          </w:pPr>
          <w:bookmarkStart w:id="45" w:name="bmkSymbols"/>
          <w:r w:rsidRPr="00417ED3">
            <w:rPr>
              <w:b/>
              <w:szCs w:val="18"/>
              <w:lang w:val="en-US"/>
            </w:rPr>
            <w:t xml:space="preserve">G/TBT/N/BOL/27, G/TBT/N/COL/268, G/TBT/N/ECU/524, </w:t>
          </w:r>
          <w:r w:rsidRPr="00417ED3">
            <w:rPr>
              <w:b/>
              <w:szCs w:val="18"/>
              <w:lang w:val="en-US"/>
            </w:rPr>
            <w:t>G/TBT/N/PER/157</w:t>
          </w:r>
          <w:bookmarkEnd w:id="45"/>
        </w:p>
      </w:tc>
    </w:tr>
    <w:tr w:rsidR="00666411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417ED3" w:rsidRDefault="005D4F0E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412A4C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r w:rsidRPr="00674766">
            <w:rPr>
              <w:szCs w:val="18"/>
            </w:rPr>
            <w:t>9 de abril de 2024</w:t>
          </w:r>
          <w:bookmarkEnd w:id="46"/>
          <w:bookmarkEnd w:id="47"/>
        </w:p>
      </w:tc>
    </w:tr>
    <w:tr w:rsidR="00666411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412A4C">
          <w:pPr>
            <w:jc w:val="left"/>
            <w:rPr>
              <w:b/>
              <w:szCs w:val="18"/>
            </w:rPr>
          </w:pPr>
          <w:bookmarkStart w:id="48" w:name="bmkSerial"/>
          <w:r w:rsidRPr="003A3E55">
            <w:rPr>
              <w:color w:val="FF0000"/>
              <w:szCs w:val="18"/>
            </w:rPr>
            <w:t>(</w:t>
          </w:r>
          <w:bookmarkStart w:id="49" w:name="spsSerialNumber"/>
          <w:r w:rsidRPr="003A3E55">
            <w:rPr>
              <w:color w:val="FF0000"/>
              <w:szCs w:val="18"/>
            </w:rPr>
            <w:t>24-3006</w:t>
          </w:r>
          <w:bookmarkEnd w:id="49"/>
          <w:r w:rsidRPr="003A3E55">
            <w:rPr>
              <w:color w:val="FF0000"/>
              <w:szCs w:val="18"/>
            </w:rPr>
            <w:t>)</w:t>
          </w:r>
          <w:bookmarkEnd w:id="4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412A4C" w:rsidP="005D4F0E">
          <w:pPr>
            <w:jc w:val="right"/>
            <w:rPr>
              <w:szCs w:val="18"/>
            </w:rPr>
          </w:pPr>
          <w:bookmarkStart w:id="50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417ED3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417ED3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50"/>
        </w:p>
      </w:tc>
    </w:tr>
    <w:tr w:rsidR="00666411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412A4C">
          <w:pPr>
            <w:jc w:val="left"/>
            <w:rPr>
              <w:szCs w:val="18"/>
            </w:rPr>
          </w:pPr>
          <w:bookmarkStart w:id="51" w:name="bmkCommittee"/>
          <w:r w:rsidRPr="003A3E55">
            <w:rPr>
              <w:b/>
              <w:szCs w:val="18"/>
            </w:rPr>
            <w:t>Comité de Obstáculos Técnicos al Comercio</w:t>
          </w:r>
          <w:bookmarkEnd w:id="5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412A4C">
          <w:pPr>
            <w:jc w:val="right"/>
            <w:rPr>
              <w:bCs/>
              <w:szCs w:val="18"/>
            </w:rPr>
          </w:pPr>
          <w:bookmarkStart w:id="52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3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3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88FB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DA9EC0" w:tentative="1">
      <w:start w:val="1"/>
      <w:numFmt w:val="lowerLetter"/>
      <w:lvlText w:val="%2."/>
      <w:lvlJc w:val="left"/>
      <w:pPr>
        <w:ind w:left="1080" w:hanging="360"/>
      </w:pPr>
    </w:lvl>
    <w:lvl w:ilvl="2" w:tplc="CC9E816A" w:tentative="1">
      <w:start w:val="1"/>
      <w:numFmt w:val="lowerRoman"/>
      <w:lvlText w:val="%3."/>
      <w:lvlJc w:val="right"/>
      <w:pPr>
        <w:ind w:left="1800" w:hanging="180"/>
      </w:pPr>
    </w:lvl>
    <w:lvl w:ilvl="3" w:tplc="37D8A654" w:tentative="1">
      <w:start w:val="1"/>
      <w:numFmt w:val="decimal"/>
      <w:lvlText w:val="%4."/>
      <w:lvlJc w:val="left"/>
      <w:pPr>
        <w:ind w:left="2520" w:hanging="360"/>
      </w:pPr>
    </w:lvl>
    <w:lvl w:ilvl="4" w:tplc="8CBC75BC" w:tentative="1">
      <w:start w:val="1"/>
      <w:numFmt w:val="lowerLetter"/>
      <w:lvlText w:val="%5."/>
      <w:lvlJc w:val="left"/>
      <w:pPr>
        <w:ind w:left="3240" w:hanging="360"/>
      </w:pPr>
    </w:lvl>
    <w:lvl w:ilvl="5" w:tplc="26DC51FA" w:tentative="1">
      <w:start w:val="1"/>
      <w:numFmt w:val="lowerRoman"/>
      <w:lvlText w:val="%6."/>
      <w:lvlJc w:val="right"/>
      <w:pPr>
        <w:ind w:left="3960" w:hanging="180"/>
      </w:pPr>
    </w:lvl>
    <w:lvl w:ilvl="6" w:tplc="46C6AC58" w:tentative="1">
      <w:start w:val="1"/>
      <w:numFmt w:val="decimal"/>
      <w:lvlText w:val="%7."/>
      <w:lvlJc w:val="left"/>
      <w:pPr>
        <w:ind w:left="4680" w:hanging="360"/>
      </w:pPr>
    </w:lvl>
    <w:lvl w:ilvl="7" w:tplc="3FD2D5E8" w:tentative="1">
      <w:start w:val="1"/>
      <w:numFmt w:val="lowerLetter"/>
      <w:lvlText w:val="%8."/>
      <w:lvlJc w:val="left"/>
      <w:pPr>
        <w:ind w:left="5400" w:hanging="360"/>
      </w:pPr>
    </w:lvl>
    <w:lvl w:ilvl="8" w:tplc="CEA8A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FD4F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703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B44E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C4F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64D1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F69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5AEC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EC7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F6D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66494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A4C"/>
    <w:rsid w:val="00412DAF"/>
    <w:rsid w:val="00417ED3"/>
    <w:rsid w:val="004263C0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66411"/>
    <w:rsid w:val="00674766"/>
    <w:rsid w:val="00674833"/>
    <w:rsid w:val="00677F2C"/>
    <w:rsid w:val="00696361"/>
    <w:rsid w:val="006A2F2A"/>
    <w:rsid w:val="006A63E9"/>
    <w:rsid w:val="006C0F04"/>
    <w:rsid w:val="006D492E"/>
    <w:rsid w:val="006E0C67"/>
    <w:rsid w:val="006F728A"/>
    <w:rsid w:val="00702623"/>
    <w:rsid w:val="00713022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075C7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06BA0"/>
    <w:rsid w:val="00A22D74"/>
    <w:rsid w:val="00A23CA3"/>
    <w:rsid w:val="00A26048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2636C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12D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B7769"/>
    <w:rsid w:val="00ED3396"/>
    <w:rsid w:val="00EE50B7"/>
    <w:rsid w:val="00EF045A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1BAF"/>
  <w15:docId w15:val="{545ECF60-5D03-4155-9C71-8BF4D55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ledezma@produccion.gob.bo" TargetMode="External"/><Relationship Id="rId13" Type="http://schemas.openxmlformats.org/officeDocument/2006/relationships/hyperlink" Target="https://members.wto.org/crnattachments/2024/TBT/BOL/24_02531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lamentos.otc@produccion.gob.bo" TargetMode="External"/><Relationship Id="rId12" Type="http://schemas.openxmlformats.org/officeDocument/2006/relationships/hyperlink" Target="mailto:reglamentos.otc@produccion.gob.b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s.ledezma@produccion.gob.b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ichard.rojas@produccion.gob.b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glamentos.otc@produccion.gob.b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Company>OMC - WTO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ANDRES-LEDEZMA</cp:lastModifiedBy>
  <cp:revision>2</cp:revision>
  <dcterms:created xsi:type="dcterms:W3CDTF">2024-04-10T13:10:00Z</dcterms:created>
  <dcterms:modified xsi:type="dcterms:W3CDTF">2024-04-10T13:10:00Z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NC</vt:lpwstr>
  </property>
</Properties>
</file>