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C9" w:rsidRPr="00EF68C9" w:rsidRDefault="00F22BE7" w:rsidP="00D31A79">
      <w:pPr>
        <w:pStyle w:val="Puesto"/>
      </w:pPr>
      <w:bookmarkStart w:id="4" w:name="_Hlk23403596"/>
      <w:bookmarkStart w:id="5" w:name="_GoBack"/>
      <w:bookmarkEnd w:id="5"/>
      <w:r w:rsidRPr="00EF68C9">
        <w:t>NOTIFICACIÓN</w:t>
      </w:r>
    </w:p>
    <w:p w:rsidR="002F663C" w:rsidRPr="00EF68C9" w:rsidRDefault="00F22BE7" w:rsidP="00D31A79">
      <w:pPr>
        <w:pStyle w:val="Title3"/>
      </w:pPr>
      <w:r w:rsidRPr="00EF68C9">
        <w:t>Addendum</w:t>
      </w:r>
    </w:p>
    <w:p w:rsidR="00EE731A" w:rsidRPr="002F663C" w:rsidRDefault="00F22BE7" w:rsidP="00EE731A">
      <w:pPr>
        <w:rPr>
          <w:rFonts w:eastAsia="Calibri" w:cs="Times New Roman"/>
        </w:rPr>
      </w:pPr>
      <w:r>
        <w:t>La siguiente comunicación, de fecha 4 mayo 2021, se distribuye a petición de la delegación de </w:t>
      </w:r>
      <w:r>
        <w:rPr>
          <w:u w:val="single"/>
        </w:rPr>
        <w:t>Colombia</w:t>
      </w:r>
      <w:r>
        <w:t>.</w:t>
      </w:r>
      <w:bookmarkStart w:id="6" w:name="bmkChapeau"/>
      <w:bookmarkEnd w:id="6"/>
    </w:p>
    <w:p w:rsidR="002F663C" w:rsidRPr="00EF68C9" w:rsidRDefault="00F22BE7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:rsidR="002F663C" w:rsidRDefault="00F22BE7" w:rsidP="00EF68C9"/>
    <w:p w:rsidR="00B22706" w:rsidRPr="00EF68C9" w:rsidRDefault="00F22BE7" w:rsidP="00EF68C9"/>
    <w:p w:rsidR="002F663C" w:rsidRPr="00EF68C9" w:rsidRDefault="00F22BE7" w:rsidP="00584B80">
      <w:pPr>
        <w:jc w:val="left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Pr="00EF68C9">
        <w:t xml:space="preserve">: </w:t>
      </w:r>
      <w:r>
        <w:t>Resolución N° 40103 del 7 de abril de 2021.</w:t>
      </w:r>
      <w:bookmarkStart w:id="7" w:name="ParentTitle"/>
      <w:bookmarkEnd w:id="7"/>
    </w:p>
    <w:p w:rsidR="002F663C" w:rsidRPr="00EF68C9" w:rsidRDefault="00F22BE7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D76952" w:rsidTr="00186BF4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D663F2" w:rsidRDefault="00F22BE7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D663F2">
              <w:rPr>
                <w:b/>
              </w:rPr>
              <w:t xml:space="preserve">Motivo del </w:t>
            </w:r>
            <w:r w:rsidRPr="00D663F2">
              <w:rPr>
                <w:b/>
                <w:iCs/>
              </w:rPr>
              <w:t>addendum</w:t>
            </w:r>
            <w:r w:rsidRPr="00D663F2">
              <w:rPr>
                <w:b/>
              </w:rPr>
              <w:t>:</w:t>
            </w:r>
          </w:p>
        </w:tc>
      </w:tr>
      <w:tr w:rsidR="00D76952" w:rsidTr="00186BF4">
        <w:tc>
          <w:tcPr>
            <w:tcW w:w="851" w:type="dxa"/>
            <w:shd w:val="clear" w:color="auto" w:fill="auto"/>
          </w:tcPr>
          <w:p w:rsidR="002F663C" w:rsidRPr="00D663F2" w:rsidRDefault="00F22BE7" w:rsidP="00186BF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b/>
                <w:sz w:val="22"/>
              </w:rPr>
            </w:pPr>
            <w:r>
              <w:t>[]</w:t>
            </w:r>
            <w:bookmarkStart w:id="8" w:name="R1"/>
            <w:bookmarkEnd w:id="8"/>
          </w:p>
        </w:tc>
        <w:tc>
          <w:tcPr>
            <w:tcW w:w="8057" w:type="dxa"/>
            <w:shd w:val="clear" w:color="auto" w:fill="auto"/>
          </w:tcPr>
          <w:p w:rsidR="002F663C" w:rsidRPr="00D663F2" w:rsidRDefault="00F22BE7" w:rsidP="00745CBF">
            <w:pPr>
              <w:spacing w:before="60" w:after="60"/>
              <w:ind w:left="567" w:hanging="567"/>
              <w:rPr>
                <w:rFonts w:eastAsia="Calibri" w:cs="Times New Roman"/>
                <w:bCs/>
              </w:rPr>
            </w:pPr>
            <w:r w:rsidRPr="00D663F2">
              <w:rPr>
                <w:bCs/>
              </w:rPr>
              <w:t xml:space="preserve">Modificación del plazo para </w:t>
            </w:r>
            <w:r w:rsidRPr="00D663F2">
              <w:rPr>
                <w:bCs/>
              </w:rPr>
              <w:t>presentar observaciones - fecha:</w:t>
            </w:r>
            <w:r w:rsidRPr="00D663F2">
              <w:rPr>
                <w:bCs/>
              </w:rPr>
              <w:t xml:space="preserve"> </w:t>
            </w:r>
            <w:bookmarkStart w:id="9" w:name="FinalCommentsDate"/>
            <w:bookmarkEnd w:id="9"/>
          </w:p>
        </w:tc>
      </w:tr>
      <w:tr w:rsidR="00D76952" w:rsidTr="00186BF4">
        <w:tc>
          <w:tcPr>
            <w:tcW w:w="851" w:type="dxa"/>
            <w:shd w:val="clear" w:color="auto" w:fill="auto"/>
          </w:tcPr>
          <w:p w:rsidR="002F663C" w:rsidRPr="00D663F2" w:rsidRDefault="00F22BE7" w:rsidP="00186BF4">
            <w:pPr>
              <w:spacing w:before="60" w:after="60"/>
              <w:jc w:val="center"/>
              <w:rPr>
                <w:rFonts w:eastAsia="Calibri" w:cs="Times New Roman"/>
                <w:b/>
                <w:sz w:val="22"/>
              </w:rPr>
            </w:pPr>
            <w:r>
              <w:t>[X]</w:t>
            </w:r>
            <w:bookmarkStart w:id="10" w:name="R2"/>
            <w:bookmarkEnd w:id="10"/>
          </w:p>
        </w:tc>
        <w:tc>
          <w:tcPr>
            <w:tcW w:w="8057" w:type="dxa"/>
            <w:shd w:val="clear" w:color="auto" w:fill="auto"/>
          </w:tcPr>
          <w:p w:rsidR="002F663C" w:rsidRPr="00D663F2" w:rsidRDefault="00F22BE7" w:rsidP="00745CBF">
            <w:pPr>
              <w:spacing w:before="60" w:after="60"/>
              <w:rPr>
                <w:rFonts w:eastAsia="Calibri" w:cs="Times New Roman"/>
                <w:bCs/>
              </w:rPr>
            </w:pPr>
            <w:r w:rsidRPr="00D663F2">
              <w:rPr>
                <w:bCs/>
              </w:rPr>
              <w:t>Adopción de la medida notificada - fecha:</w:t>
            </w:r>
            <w:r w:rsidRPr="00D663F2">
              <w:rPr>
                <w:bCs/>
              </w:rPr>
              <w:t xml:space="preserve"> </w:t>
            </w:r>
            <w:r>
              <w:t>7 abril 2021</w:t>
            </w:r>
            <w:bookmarkStart w:id="11" w:name="ProposedAdoptionDate"/>
            <w:bookmarkEnd w:id="11"/>
          </w:p>
        </w:tc>
      </w:tr>
      <w:tr w:rsidR="00D76952" w:rsidTr="00186BF4">
        <w:tc>
          <w:tcPr>
            <w:tcW w:w="851" w:type="dxa"/>
            <w:shd w:val="clear" w:color="auto" w:fill="auto"/>
          </w:tcPr>
          <w:p w:rsidR="002F663C" w:rsidRPr="00D663F2" w:rsidRDefault="00F22BE7" w:rsidP="00186BF4">
            <w:pPr>
              <w:spacing w:before="60" w:after="60"/>
              <w:jc w:val="center"/>
              <w:rPr>
                <w:rFonts w:eastAsia="Calibri" w:cs="Times New Roman"/>
                <w:b/>
                <w:sz w:val="22"/>
              </w:rPr>
            </w:pPr>
            <w:r>
              <w:t>[]</w:t>
            </w:r>
            <w:bookmarkStart w:id="12" w:name="R3"/>
            <w:bookmarkEnd w:id="12"/>
          </w:p>
        </w:tc>
        <w:tc>
          <w:tcPr>
            <w:tcW w:w="8057" w:type="dxa"/>
            <w:shd w:val="clear" w:color="auto" w:fill="auto"/>
          </w:tcPr>
          <w:p w:rsidR="002F663C" w:rsidRPr="00D663F2" w:rsidRDefault="00F22BE7" w:rsidP="00745CBF">
            <w:pPr>
              <w:spacing w:before="60" w:after="60"/>
              <w:rPr>
                <w:rFonts w:eastAsia="Calibri" w:cs="Times New Roman"/>
                <w:bCs/>
              </w:rPr>
            </w:pPr>
            <w:r w:rsidRPr="00D663F2">
              <w:rPr>
                <w:bCs/>
              </w:rPr>
              <w:t>Publicación de la medida notificada - fecha:</w:t>
            </w:r>
            <w:r w:rsidRPr="00D663F2">
              <w:rPr>
                <w:bCs/>
              </w:rPr>
              <w:t xml:space="preserve"> </w:t>
            </w:r>
            <w:bookmarkStart w:id="13" w:name="ProposedNotificationDate"/>
            <w:bookmarkEnd w:id="13"/>
          </w:p>
        </w:tc>
      </w:tr>
      <w:tr w:rsidR="00D76952" w:rsidTr="00186BF4">
        <w:tc>
          <w:tcPr>
            <w:tcW w:w="851" w:type="dxa"/>
            <w:shd w:val="clear" w:color="auto" w:fill="auto"/>
          </w:tcPr>
          <w:p w:rsidR="002F663C" w:rsidRPr="00D663F2" w:rsidRDefault="00F22BE7" w:rsidP="00186BF4">
            <w:pPr>
              <w:spacing w:before="60" w:after="60"/>
              <w:jc w:val="center"/>
              <w:rPr>
                <w:rFonts w:eastAsia="Calibri" w:cs="Times New Roman"/>
                <w:b/>
                <w:sz w:val="22"/>
              </w:rPr>
            </w:pPr>
            <w:r>
              <w:t>[]</w:t>
            </w:r>
            <w:bookmarkStart w:id="14" w:name="R4"/>
            <w:bookmarkEnd w:id="14"/>
          </w:p>
        </w:tc>
        <w:tc>
          <w:tcPr>
            <w:tcW w:w="8057" w:type="dxa"/>
            <w:shd w:val="clear" w:color="auto" w:fill="auto"/>
          </w:tcPr>
          <w:p w:rsidR="002F663C" w:rsidRPr="00D663F2" w:rsidRDefault="00F22BE7" w:rsidP="00745CBF">
            <w:pPr>
              <w:spacing w:before="60" w:after="60"/>
              <w:rPr>
                <w:rFonts w:eastAsia="Calibri" w:cs="Times New Roman"/>
                <w:bCs/>
              </w:rPr>
            </w:pPr>
            <w:r w:rsidRPr="00D663F2">
              <w:rPr>
                <w:bCs/>
              </w:rPr>
              <w:t>Entrada en vigor de la medida notificada - fecha:</w:t>
            </w:r>
            <w:r w:rsidRPr="00D663F2">
              <w:rPr>
                <w:bCs/>
              </w:rPr>
              <w:t xml:space="preserve"> </w:t>
            </w:r>
            <w:bookmarkStart w:id="15" w:name="ProposedEntryIntoForceDate"/>
            <w:bookmarkEnd w:id="15"/>
          </w:p>
        </w:tc>
      </w:tr>
      <w:tr w:rsidR="00D76952" w:rsidTr="00186BF4">
        <w:tc>
          <w:tcPr>
            <w:tcW w:w="851" w:type="dxa"/>
            <w:shd w:val="clear" w:color="auto" w:fill="auto"/>
          </w:tcPr>
          <w:p w:rsidR="002F663C" w:rsidRPr="00D663F2" w:rsidRDefault="00F22BE7" w:rsidP="00186BF4">
            <w:pPr>
              <w:spacing w:before="60" w:after="60"/>
              <w:jc w:val="center"/>
              <w:rPr>
                <w:rFonts w:eastAsia="Calibri" w:cs="Times New Roman"/>
                <w:b/>
                <w:sz w:val="22"/>
              </w:rPr>
            </w:pPr>
            <w:r>
              <w:t>[X]</w:t>
            </w:r>
            <w:bookmarkStart w:id="16" w:name="R5"/>
            <w:bookmarkEnd w:id="16"/>
          </w:p>
        </w:tc>
        <w:tc>
          <w:tcPr>
            <w:tcW w:w="8057" w:type="dxa"/>
            <w:shd w:val="clear" w:color="auto" w:fill="auto"/>
          </w:tcPr>
          <w:p w:rsidR="002F663C" w:rsidRPr="00D663F2" w:rsidRDefault="00F22BE7" w:rsidP="00D21CB0">
            <w:pPr>
              <w:spacing w:before="60" w:after="60"/>
              <w:ind w:left="567" w:hanging="567"/>
              <w:rPr>
                <w:rFonts w:eastAsia="Calibri" w:cs="Times New Roman"/>
                <w:bCs/>
              </w:rPr>
            </w:pPr>
            <w:r w:rsidRPr="00D663F2">
              <w:rPr>
                <w:bCs/>
              </w:rPr>
              <w:t xml:space="preserve">Indicación de dónde se puede obtener el texto de la </w:t>
            </w:r>
            <w:r w:rsidRPr="00D663F2">
              <w:rPr>
                <w:bCs/>
              </w:rPr>
              <w:t>medida definitiva</w:t>
            </w:r>
            <w:r>
              <w:rPr>
                <w:rStyle w:val="Refdenotaalpie"/>
                <w:bCs/>
              </w:rPr>
              <w:footnoteReference w:id="1"/>
            </w:r>
            <w:r w:rsidRPr="00D663F2">
              <w:rPr>
                <w:bCs/>
              </w:rPr>
              <w:t>:</w:t>
            </w:r>
          </w:p>
          <w:p w:rsidR="00935F01" w:rsidRPr="00D663F2" w:rsidRDefault="00F22BE7">
            <w:pPr>
              <w:rPr>
                <w:rFonts w:eastAsia="Calibri" w:cs="Times New Roman"/>
                <w:bCs/>
              </w:rPr>
            </w:pPr>
            <w:r>
              <w:t>1 archivo(s) adjuntos</w:t>
            </w:r>
          </w:p>
        </w:tc>
      </w:tr>
      <w:tr w:rsidR="00D76952" w:rsidTr="00186BF4">
        <w:tc>
          <w:tcPr>
            <w:tcW w:w="851" w:type="dxa"/>
            <w:shd w:val="clear" w:color="auto" w:fill="auto"/>
          </w:tcPr>
          <w:p w:rsidR="002F663C" w:rsidRPr="00D663F2" w:rsidRDefault="00F22BE7" w:rsidP="00186BF4">
            <w:pPr>
              <w:spacing w:before="60" w:after="60"/>
              <w:jc w:val="center"/>
              <w:rPr>
                <w:rFonts w:eastAsia="Calibri" w:cs="Times New Roman"/>
                <w:b/>
                <w:sz w:val="22"/>
              </w:rPr>
            </w:pPr>
            <w:r>
              <w:t>[]</w:t>
            </w:r>
            <w:bookmarkStart w:id="17" w:name="R6"/>
            <w:bookmarkEnd w:id="17"/>
          </w:p>
        </w:tc>
        <w:tc>
          <w:tcPr>
            <w:tcW w:w="8057" w:type="dxa"/>
            <w:shd w:val="clear" w:color="auto" w:fill="auto"/>
          </w:tcPr>
          <w:p w:rsidR="00EF68C9" w:rsidRPr="00D663F2" w:rsidRDefault="00F22BE7" w:rsidP="00745CBF">
            <w:pPr>
              <w:spacing w:before="60" w:after="60"/>
              <w:ind w:left="567" w:hanging="567"/>
              <w:rPr>
                <w:rFonts w:eastAsia="Calibri" w:cs="Times New Roman"/>
                <w:bCs/>
              </w:rPr>
            </w:pPr>
            <w:r w:rsidRPr="00D663F2">
              <w:rPr>
                <w:bCs/>
              </w:rPr>
              <w:t>Retiro o derogación de la medida notificada - fecha:</w:t>
            </w:r>
            <w:r w:rsidRPr="00D663F2">
              <w:rPr>
                <w:bCs/>
              </w:rPr>
              <w:t xml:space="preserve"> </w:t>
            </w:r>
            <w:bookmarkStart w:id="18" w:name="WithdrawalDate"/>
            <w:bookmarkEnd w:id="18"/>
          </w:p>
          <w:p w:rsidR="002F663C" w:rsidRPr="00D663F2" w:rsidRDefault="00F22BE7">
            <w:pPr>
              <w:spacing w:before="60" w:after="60"/>
              <w:ind w:left="567" w:hanging="567"/>
              <w:rPr>
                <w:bCs/>
              </w:rPr>
            </w:pPr>
            <w:r w:rsidRPr="00D663F2">
              <w:rPr>
                <w:bCs/>
              </w:rPr>
              <w:t>Signatura pertinente, en el caso de que se vuelva a notificar la medida:</w:t>
            </w:r>
            <w:r w:rsidRPr="00D663F2">
              <w:rPr>
                <w:bCs/>
              </w:rPr>
              <w:t xml:space="preserve"> </w:t>
            </w:r>
          </w:p>
        </w:tc>
      </w:tr>
      <w:tr w:rsidR="00D76952" w:rsidTr="00186BF4">
        <w:tc>
          <w:tcPr>
            <w:tcW w:w="851" w:type="dxa"/>
            <w:shd w:val="clear" w:color="auto" w:fill="auto"/>
          </w:tcPr>
          <w:p w:rsidR="002F663C" w:rsidRPr="00D663F2" w:rsidRDefault="00F22BE7" w:rsidP="00186BF4">
            <w:pPr>
              <w:spacing w:before="60" w:after="60"/>
              <w:jc w:val="center"/>
              <w:rPr>
                <w:rFonts w:eastAsia="Calibri" w:cs="Times New Roman"/>
                <w:b/>
                <w:sz w:val="22"/>
              </w:rPr>
            </w:pPr>
            <w:r>
              <w:t>[]</w:t>
            </w:r>
            <w:bookmarkStart w:id="19" w:name="R7"/>
            <w:bookmarkEnd w:id="19"/>
          </w:p>
        </w:tc>
        <w:tc>
          <w:tcPr>
            <w:tcW w:w="8057" w:type="dxa"/>
            <w:shd w:val="clear" w:color="auto" w:fill="auto"/>
          </w:tcPr>
          <w:p w:rsidR="00EF68C9" w:rsidRDefault="00F22BE7" w:rsidP="00745CBF">
            <w:pPr>
              <w:spacing w:before="60" w:after="60"/>
              <w:rPr>
                <w:bCs/>
              </w:rPr>
            </w:pPr>
            <w:r w:rsidRPr="00D663F2">
              <w:rPr>
                <w:bCs/>
              </w:rPr>
              <w:t>Modificación del contenido o del ámbito de aplicación de la medida notificada</w:t>
            </w:r>
          </w:p>
          <w:p w:rsidR="002F663C" w:rsidRPr="00D663F2" w:rsidRDefault="00F22BE7">
            <w:pPr>
              <w:spacing w:before="60" w:after="60"/>
              <w:rPr>
                <w:bCs/>
              </w:rPr>
            </w:pPr>
            <w:r w:rsidRPr="00D663F2">
              <w:rPr>
                <w:bCs/>
              </w:rPr>
              <w:t>Nuevo plazo para presentar observaciones (si procede):</w:t>
            </w:r>
          </w:p>
          <w:p w:rsidR="005E4F20" w:rsidRPr="005E4F20" w:rsidRDefault="00F22BE7" w:rsidP="00B2381C">
            <w:pPr>
              <w:spacing w:before="60" w:after="60"/>
              <w:rPr>
                <w:rFonts w:eastAsia="Calibri" w:cs="Times New Roman"/>
                <w:bCs/>
              </w:rPr>
            </w:pPr>
            <w:r>
              <w:t>días a partir de la fecha de notificación</w:t>
            </w:r>
            <w:bookmarkStart w:id="20" w:name="NewCommentPeriod"/>
            <w:bookmarkEnd w:id="20"/>
          </w:p>
        </w:tc>
      </w:tr>
      <w:tr w:rsidR="00D76952" w:rsidTr="00186BF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663C" w:rsidRPr="00D663F2" w:rsidRDefault="00F22BE7" w:rsidP="00186BF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b/>
                <w:sz w:val="22"/>
              </w:rPr>
            </w:pPr>
            <w:r>
              <w:t>[]</w:t>
            </w:r>
            <w:bookmarkStart w:id="21" w:name="R8"/>
            <w:bookmarkEnd w:id="21"/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:rsidR="00EF68C9" w:rsidRPr="00D663F2" w:rsidRDefault="00F22BE7" w:rsidP="00745CBF">
            <w:pPr>
              <w:spacing w:before="60" w:after="60"/>
              <w:rPr>
                <w:rFonts w:eastAsia="Calibri" w:cs="Times New Roman"/>
                <w:bCs/>
                <w:sz w:val="16"/>
                <w:szCs w:val="16"/>
              </w:rPr>
            </w:pPr>
            <w:r w:rsidRPr="00D663F2">
              <w:rPr>
                <w:bCs/>
              </w:rPr>
              <w:t>Publicación de documentos interpretativos e indicación de dónde se puede obtener el texto:</w:t>
            </w:r>
          </w:p>
        </w:tc>
      </w:tr>
      <w:tr w:rsidR="00D76952" w:rsidTr="00186BF4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:rsidR="002F663C" w:rsidRPr="00D663F2" w:rsidRDefault="00F22BE7" w:rsidP="00186BF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b/>
                <w:sz w:val="22"/>
              </w:rPr>
            </w:pPr>
            <w:r>
              <w:t>[]</w:t>
            </w:r>
            <w:bookmarkStart w:id="22" w:name="R9"/>
            <w:bookmarkEnd w:id="22"/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:rsidR="002F663C" w:rsidRPr="00D663F2" w:rsidRDefault="00F22BE7" w:rsidP="00745CBF">
            <w:pPr>
              <w:spacing w:before="60" w:after="60"/>
              <w:ind w:left="567" w:hanging="567"/>
              <w:rPr>
                <w:bCs/>
              </w:rPr>
            </w:pPr>
            <w:r w:rsidRPr="00D663F2">
              <w:rPr>
                <w:bCs/>
              </w:rPr>
              <w:t>Otro motivo:</w:t>
            </w:r>
          </w:p>
        </w:tc>
      </w:tr>
    </w:tbl>
    <w:p w:rsidR="002F663C" w:rsidRPr="00EF68C9" w:rsidRDefault="00F22BE7" w:rsidP="00EF68C9"/>
    <w:p w:rsidR="00DF085F" w:rsidRPr="00EF68C9" w:rsidRDefault="00F22BE7" w:rsidP="00EF68C9">
      <w:pPr>
        <w:jc w:val="left"/>
        <w:rPr>
          <w:rFonts w:eastAsia="Calibri" w:cs="Times New Roman"/>
          <w:szCs w:val="18"/>
        </w:rPr>
      </w:pPr>
      <w:r w:rsidRPr="00EF68C9">
        <w:rPr>
          <w:b/>
          <w:bCs/>
        </w:rPr>
        <w:t>Descripción</w:t>
      </w:r>
      <w:r w:rsidRPr="00EF68C9">
        <w:t>:</w:t>
      </w:r>
      <w:r>
        <w:t xml:space="preserve"> </w:t>
      </w:r>
      <w:r>
        <w:t xml:space="preserve">La República de Colombia </w:t>
      </w:r>
      <w:r>
        <w:t>comunica que el Ministerio Minas y Energía expidió la Resolución N° 40103 del 7 de abril de 2021 “Por la cual se establecen los parámetros y requisitos de calidad del combustible diésel (ACPM), los biocombustibles para su uso en motores de encendido por co</w:t>
      </w:r>
      <w:r>
        <w:t>mpresión como componentes de mezcla en procesos de combustión, y de las gasolinas básicas y gasolinas oxigenadas con etanol anhidro, combustible para uso en motores de encendido por chispa, y se adoptan otras disposiciones”</w:t>
      </w:r>
      <w:bookmarkStart w:id="23" w:name="DescriptionFreeText"/>
      <w:bookmarkEnd w:id="23"/>
    </w:p>
    <w:bookmarkEnd w:id="4"/>
    <w:p w:rsidR="003918E9" w:rsidRPr="00F95856" w:rsidRDefault="00F22BE7" w:rsidP="00F95856">
      <w:pPr>
        <w:pStyle w:val="Textonotapie"/>
        <w:ind w:firstLine="0"/>
        <w:rPr>
          <w:sz w:val="18"/>
        </w:rPr>
      </w:pPr>
    </w:p>
    <w:p w:rsidR="00D60927" w:rsidRPr="00B22706" w:rsidRDefault="00F22BE7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D31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E7" w:rsidRDefault="00F22BE7">
      <w:r>
        <w:separator/>
      </w:r>
    </w:p>
  </w:endnote>
  <w:endnote w:type="continuationSeparator" w:id="0">
    <w:p w:rsidR="00F22BE7" w:rsidRDefault="00F2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26" w:rsidRPr="00EF68C9" w:rsidRDefault="00F22BE7" w:rsidP="00EF68C9">
    <w:pPr>
      <w:pStyle w:val="Piedepgina"/>
    </w:pPr>
    <w:bookmarkStart w:id="28" w:name="_Hlk23403603"/>
    <w:bookmarkStart w:id="29" w:name="_Hlk23403604"/>
    <w:r w:rsidRPr="00EF68C9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26" w:rsidRPr="00EF68C9" w:rsidRDefault="00F22BE7" w:rsidP="00EF68C9">
    <w:pPr>
      <w:pStyle w:val="Piedepgina"/>
    </w:pPr>
    <w:bookmarkStart w:id="30" w:name="_Hlk23403605"/>
    <w:bookmarkStart w:id="31" w:name="_Hlk23403606"/>
    <w:r w:rsidRPr="00EF68C9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C9" w:rsidRPr="00EF68C9" w:rsidRDefault="00F22BE7" w:rsidP="00EF68C9">
    <w:pPr>
      <w:pStyle w:val="Piedepgina"/>
    </w:pPr>
    <w:bookmarkStart w:id="38" w:name="_Hlk23403609"/>
    <w:bookmarkStart w:id="39" w:name="_Hlk23403610"/>
    <w:r w:rsidRPr="00EF68C9">
      <w:t xml:space="preserve"> </w:t>
    </w:r>
    <w:bookmarkEnd w:id="38"/>
    <w:bookmarkEnd w:id="3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E7" w:rsidRPr="00EF68C9" w:rsidRDefault="00F22BE7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:rsidR="00F22BE7" w:rsidRPr="00EF68C9" w:rsidRDefault="00F22BE7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:rsidR="00F95856" w:rsidRPr="00F95856" w:rsidRDefault="00F22BE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Cs w:val="16"/>
        </w:rPr>
        <w:t>Entre otras cosas, puede aportarse la dirección de un sitio web, un anexo en pdf</w:t>
      </w:r>
      <w:r>
        <w:rPr>
          <w:szCs w:val="16"/>
        </w:rPr>
        <w:t xml:space="preserve"> u otra información que indique dónde se puede obtener el texto de la medida definitiva/modificación de la medida y/o los documentos interpretativos.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C9" w:rsidRPr="00EF68C9" w:rsidRDefault="00F22BE7" w:rsidP="00EF68C9">
    <w:pPr>
      <w:pStyle w:val="Encabezado"/>
      <w:spacing w:after="240"/>
      <w:jc w:val="center"/>
    </w:pPr>
    <w:bookmarkStart w:id="24" w:name="_Hlk23403599"/>
    <w:bookmarkStart w:id="25" w:name="_Hlk23403600"/>
    <w:r w:rsidRPr="00EF68C9">
      <w:t>JOB/TBT/344</w:t>
    </w:r>
  </w:p>
  <w:p w:rsidR="00EF68C9" w:rsidRPr="00EF68C9" w:rsidRDefault="00F22BE7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C9" w:rsidRPr="00EF68C9" w:rsidRDefault="00F22BE7" w:rsidP="00EF68C9">
    <w:pPr>
      <w:pStyle w:val="Encabezado"/>
      <w:spacing w:after="240"/>
      <w:jc w:val="center"/>
    </w:pPr>
    <w:bookmarkStart w:id="26" w:name="_Hlk23403601"/>
    <w:bookmarkStart w:id="27" w:name="_Hlk23403602"/>
    <w:r w:rsidRPr="00EF68C9">
      <w:t>JOB/TBT/344</w:t>
    </w:r>
  </w:p>
  <w:p w:rsidR="00EF68C9" w:rsidRPr="00EF68C9" w:rsidRDefault="00F22BE7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D76952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RDefault="00F22BE7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23403607"/>
          <w:bookmarkStart w:id="33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RDefault="00F22BE7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76952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F68C9" w:rsidRPr="00EF68C9" w:rsidRDefault="00F22BE7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  <w:lang w:val="es-CO" w:eastAsia="es-CO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EF68C9" w:rsidRDefault="00F22BE7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76952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F68C9" w:rsidRPr="00EF68C9" w:rsidRDefault="00F22BE7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642BF9" w:rsidRDefault="00F22BE7" w:rsidP="00EE731A">
          <w:pPr>
            <w:jc w:val="right"/>
            <w:rPr>
              <w:rFonts w:eastAsia="Verdana" w:cs="Verdana"/>
              <w:b/>
              <w:szCs w:val="18"/>
              <w:lang w:val="en-GB"/>
            </w:rPr>
          </w:pPr>
          <w:bookmarkStart w:id="34" w:name="bmkSymbols"/>
          <w:r>
            <w:t>G/TBT/N/COL/244/Add.***</w:t>
          </w:r>
          <w:bookmarkStart w:id="35" w:name="spsSymbol"/>
          <w:bookmarkEnd w:id="34"/>
          <w:bookmarkEnd w:id="35"/>
        </w:p>
      </w:tc>
    </w:tr>
    <w:tr w:rsidR="00D76952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642BF9" w:rsidRDefault="00F22BE7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D76952" w:rsidRDefault="00D76952"/>
      </w:tc>
    </w:tr>
    <w:tr w:rsidR="00D76952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B20FD5" w:rsidRDefault="00F22BE7" w:rsidP="00B20FD5">
          <w:pPr>
            <w:spacing w:line="276" w:lineRule="auto"/>
            <w:jc w:val="left"/>
            <w:rPr>
              <w:b/>
            </w:rPr>
          </w:pPr>
          <w:r>
            <w:rPr>
              <w:rFonts w:eastAsia="Calibri" w:cs="Times New Roman"/>
              <w:color w:val="FF0000"/>
              <w:szCs w:val="16"/>
            </w:rPr>
            <w:t>(</w:t>
          </w:r>
          <w:bookmarkStart w:id="36" w:name="spsSerialNumber"/>
          <w:bookmarkEnd w:id="36"/>
          <w:r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RDefault="00F22BE7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="00AB5B70">
            <w:rPr>
              <w:rFonts w:eastAsia="Verdana" w:cs="Verdana"/>
              <w:noProof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="00AB5B70">
            <w:rPr>
              <w:rFonts w:eastAsia="Verdana" w:cs="Verdana"/>
              <w:noProof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D76952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RDefault="00F22BE7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RDefault="00F22BE7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37" w:name="spsOriginalLanguage"/>
          <w:bookmarkEnd w:id="37"/>
        </w:p>
      </w:tc>
    </w:tr>
    <w:bookmarkEnd w:id="32"/>
    <w:bookmarkEnd w:id="33"/>
  </w:tbl>
  <w:p w:rsidR="00ED54E0" w:rsidRPr="00EF68C9" w:rsidRDefault="00F22BE7" w:rsidP="00EF68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D3204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88D55E" w:tentative="1">
      <w:start w:val="1"/>
      <w:numFmt w:val="lowerLetter"/>
      <w:lvlText w:val="%2."/>
      <w:lvlJc w:val="left"/>
      <w:pPr>
        <w:ind w:left="1080" w:hanging="360"/>
      </w:pPr>
    </w:lvl>
    <w:lvl w:ilvl="2" w:tplc="ED323FDA" w:tentative="1">
      <w:start w:val="1"/>
      <w:numFmt w:val="lowerRoman"/>
      <w:lvlText w:val="%3."/>
      <w:lvlJc w:val="right"/>
      <w:pPr>
        <w:ind w:left="1800" w:hanging="180"/>
      </w:pPr>
    </w:lvl>
    <w:lvl w:ilvl="3" w:tplc="0442BE1E" w:tentative="1">
      <w:start w:val="1"/>
      <w:numFmt w:val="decimal"/>
      <w:lvlText w:val="%4."/>
      <w:lvlJc w:val="left"/>
      <w:pPr>
        <w:ind w:left="2520" w:hanging="360"/>
      </w:pPr>
    </w:lvl>
    <w:lvl w:ilvl="4" w:tplc="1F62425C" w:tentative="1">
      <w:start w:val="1"/>
      <w:numFmt w:val="lowerLetter"/>
      <w:lvlText w:val="%5."/>
      <w:lvlJc w:val="left"/>
      <w:pPr>
        <w:ind w:left="3240" w:hanging="360"/>
      </w:pPr>
    </w:lvl>
    <w:lvl w:ilvl="5" w:tplc="4AF89780" w:tentative="1">
      <w:start w:val="1"/>
      <w:numFmt w:val="lowerRoman"/>
      <w:lvlText w:val="%6."/>
      <w:lvlJc w:val="right"/>
      <w:pPr>
        <w:ind w:left="3960" w:hanging="180"/>
      </w:pPr>
    </w:lvl>
    <w:lvl w:ilvl="6" w:tplc="A4AE4C40" w:tentative="1">
      <w:start w:val="1"/>
      <w:numFmt w:val="decimal"/>
      <w:lvlText w:val="%7."/>
      <w:lvlJc w:val="left"/>
      <w:pPr>
        <w:ind w:left="4680" w:hanging="360"/>
      </w:pPr>
    </w:lvl>
    <w:lvl w:ilvl="7" w:tplc="BB08D5F6" w:tentative="1">
      <w:start w:val="1"/>
      <w:numFmt w:val="lowerLetter"/>
      <w:lvlText w:val="%8."/>
      <w:lvlJc w:val="left"/>
      <w:pPr>
        <w:ind w:left="5400" w:hanging="360"/>
      </w:pPr>
    </w:lvl>
    <w:lvl w:ilvl="8" w:tplc="CAA6BF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SortMethod w:val="0000"/>
  <w:defaultTabStop w:val="567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52"/>
    <w:rsid w:val="00AB5B70"/>
    <w:rsid w:val="00D34441"/>
    <w:rsid w:val="00D76952"/>
    <w:rsid w:val="00F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Puesto">
    <w:name w:val="Title"/>
    <w:basedOn w:val="Normal"/>
    <w:next w:val="Normal"/>
    <w:link w:val="Puest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PuestoCar">
    <w:name w:val="Puesto Car"/>
    <w:basedOn w:val="Fuentedeprrafopredeter"/>
    <w:link w:val="Puest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customStyle="1" w:styleId="Encabezadodenota1">
    <w:name w:val="Encabezado de nota1"/>
    <w:basedOn w:val="Normal"/>
    <w:next w:val="Normal"/>
    <w:link w:val="NoteHeadingChar"/>
    <w:uiPriority w:val="99"/>
    <w:semiHidden/>
    <w:unhideWhenUsed/>
    <w:rsid w:val="00EF68C9"/>
  </w:style>
  <w:style w:type="character" w:customStyle="1" w:styleId="NoteHeadingChar">
    <w:name w:val="Note Heading Char"/>
    <w:basedOn w:val="Fuentedeprrafopredeter"/>
    <w:link w:val="Encabezadodenota1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Tabladecuadrcula1clara1">
    <w:name w:val="Tabla de cuadrícula 1 clara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2-nfasis21">
    <w:name w:val="Tabla de cuadrícula 2 - Énfasis 2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2-nfasis61">
    <w:name w:val="Tabla de cuadrícula 2 - Énfasis 6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ladecuadrcula3-nfasis21">
    <w:name w:val="Tabla de cuadrícula 3 - Énfasis 2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ladecuadrcula3-nfasis41">
    <w:name w:val="Tabla de cuadrícula 3 - Énfasis 4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cuadrcula3-nfasis61">
    <w:name w:val="Tabla de cuadrícula 3 - Énfasis 6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5oscura1">
    <w:name w:val="Tabla de cuadrícula 5 oscura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6concolores-nfasis31">
    <w:name w:val="Tabla de cuadrícula 6 con colores - Énfasis 31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7concolores1">
    <w:name w:val="Tabla de cuadrícula 7 con colores1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7concolores-nfasis11">
    <w:name w:val="Tabla de cuadrícula 7 con colores - Énfasis 1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ladecuadrcula7concolores-nfasis21">
    <w:name w:val="Tabla de cuadrícula 7 con colores - Énfasis 21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ladecuadrcula7concolores-nfasis31">
    <w:name w:val="Tabla de cuadrícula 7 con colores - Énfasis 31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abladelista1clara1">
    <w:name w:val="Tabla de lista 1 clara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customStyle="1" w:styleId="Tablanormal11">
    <w:name w:val="Tabla normal 1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aconcuadrcu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aconcuadrcu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Cuadrculadetablaclara1">
    <w:name w:val="Cuadrícula de tabla clara1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BF7E9-C40C-4D3D-8DC7-E9AAB198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2021-05-04T21:17:00Z</dcterms:created>
  <dcterms:modified xsi:type="dcterms:W3CDTF">2021-05-04T21:17:00Z</dcterms:modified>
</cp:coreProperties>
</file>