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535FD129" w14:textId="77777777">
      <w:pPr>
        <w:pStyle w:val="Title"/>
      </w:pPr>
      <w:r w:rsidRPr="00EF68C9">
        <w:t>NOTIFICACIÓN</w:t>
      </w:r>
    </w:p>
    <w:p w:rsidR="002F663C" w:rsidRPr="00EF68C9" w:rsidP="00D31A79" w14:paraId="1DE7E78A" w14:textId="77777777">
      <w:pPr>
        <w:pStyle w:val="Title3"/>
      </w:pPr>
      <w:r w:rsidRPr="00EF68C9">
        <w:t>Addendum</w:t>
      </w:r>
    </w:p>
    <w:p w:rsidR="002F663C" w:rsidP="00B22706" w14:paraId="64AA6436" w14:textId="77777777">
      <w:r w:rsidRPr="00EF68C9">
        <w:t>La siguiente comunicación, de fecha 2 de junio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</w:t>
      </w:r>
      <w:r w:rsidRPr="00EF68C9">
        <w:t xml:space="preserve">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77D3459A" w14:textId="77777777">
      <w:pPr>
        <w:rPr>
          <w:rFonts w:eastAsia="Calibri" w:cs="Times New Roman"/>
        </w:rPr>
      </w:pPr>
    </w:p>
    <w:p w:rsidR="002F663C" w:rsidRPr="00EF68C9" w:rsidP="00EF68C9" w14:paraId="7F222AEA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5CD54A84" w14:textId="77777777"/>
    <w:p w:rsidR="00B22706" w:rsidRPr="00EF68C9" w:rsidP="00EF68C9" w14:paraId="7D989F5D" w14:textId="77777777"/>
    <w:p w:rsidR="002F663C" w:rsidRPr="00EF68C9" w:rsidP="00EF68C9" w14:paraId="6326A4D3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Proyecto de decreto del Ministerio de Salud y Protección Social "</w:t>
      </w:r>
      <w:r w:rsidRPr="00EF68C9" w:rsidR="00EF68C9">
        <w:rPr>
          <w:i/>
          <w:iCs/>
        </w:rPr>
        <w:t>Por el cual se establecen los requisitos técnicos para la fortificación obligatoria del arroz, harina de maíz, harina de trigo y alimentos envasados o empacados destinados para consumo humano que los contengan en su formulación como ingrediente principal, que se producen, importan y comercializan dentro del territorio nacional y se deroga el Decreto 1944 de 1996</w:t>
      </w:r>
      <w:r w:rsidRPr="00EF68C9" w:rsidR="00EF68C9">
        <w:t>".</w:t>
      </w:r>
    </w:p>
    <w:p w:rsidR="002F663C" w:rsidRPr="00EF68C9" w:rsidP="00EF68C9" w14:paraId="5C8E1E2C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51810000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532870EC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17F3BB93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CE9D9E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259BEA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0D5CC7F5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C6FC50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66E57F9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0A061271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B6FBE6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48E811F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293065BE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5FE272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2230120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14:paraId="605D80B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0BC03A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07E46759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</w:tc>
      </w:tr>
      <w:tr w14:paraId="6DE5B85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E20064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2D9EDB0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Retiro o </w:t>
            </w:r>
            <w:r w:rsidRPr="00EF68C9">
              <w:t>derogación de la medida notificada - fecha:</w:t>
            </w:r>
            <w:r w:rsidR="00C838A8">
              <w:t xml:space="preserve"> </w:t>
            </w:r>
          </w:p>
          <w:p w:rsidR="002F663C" w:rsidRPr="00EF68C9" w:rsidP="00444BD5" w14:paraId="42450BE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3910958B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0DEAAC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1949F919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5127D6" w:rsidP="00745CBF" w14:paraId="45E5EA08" w14:textId="77777777">
            <w:pPr>
              <w:spacing w:before="120" w:after="120"/>
              <w:rPr>
                <w:rFonts w:eastAsia="Calibri" w:cs="Times New Roman"/>
              </w:rPr>
            </w:pPr>
            <w:hyperlink r:id="rId6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https://members.wto.org/crnattachments/2025/TBT/COL/modification/25_03640_00_s.pdf</w:t>
              </w:r>
            </w:hyperlink>
          </w:p>
          <w:p w:rsidR="002F663C" w:rsidRPr="00EF68C9" w14:paraId="2050065B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60 días a partir de la notificación</w:t>
            </w:r>
          </w:p>
        </w:tc>
      </w:tr>
      <w:tr w14:paraId="70A0F84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4C45D015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2D4CA69F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54B86C6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6A629A4E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63C697B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42247CF8" w14:textId="77777777"/>
    <w:p w:rsidR="003918E9" w:rsidRPr="00F95856" w:rsidP="00B03883" w14:paraId="0CDB1B1A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informa que el Ministerio de Salud y Protección Social ha elaborado una nueva versión del proyecto normativo previamente notificado. Se trata del Proyecto de Decreto "</w:t>
      </w:r>
      <w:r w:rsidRPr="00EF68C9" w:rsidR="00EF68C9">
        <w:rPr>
          <w:i/>
          <w:iCs/>
        </w:rPr>
        <w:t>Por el cual se establecen los requisitos técnicos para la fortificación obligatoria del arroz, harina de maíz, harina de trigo y alimentos envasados o empacados destinados para consumo humano que los contengan en su formulación como ingrediente principal, que se producen, importan y comercializan dentro del territorio nacional y se deroga el Decreto 1944 de 1996</w:t>
      </w:r>
      <w:r w:rsidRPr="00EF68C9" w:rsidR="00EF68C9">
        <w:t xml:space="preserve">", por el cual se </w:t>
      </w:r>
      <w:r w:rsidRPr="00EF68C9" w:rsidR="00EF68C9">
        <w:t>establecen los requisitos técnicos para los procesos de fortificación obligatoria que deben cumplir las personas naturales y/o jurídicas que ejercen actividades de producción, importación y comercialización de arroz, harina de maíz y harina de trigo y alimentos envasados o empacados destinados para consumo humano que los contengan en su formulación como ingrediente principal, con el fin de proteger la vida y la salud de las personas.</w:t>
      </w:r>
    </w:p>
    <w:p w:rsidR="00D60927" w:rsidRPr="00B22706" w:rsidP="003918E9" w14:paraId="4CAB623A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24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005CC3F6" w14:textId="77777777">
    <w:pPr>
      <w:pStyle w:val="Footer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EF68C9" w:rsidP="00EF68C9" w14:paraId="1B20C6B6" w14:textId="77777777">
    <w:pPr>
      <w:pStyle w:val="Footer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49C2520E" w14:textId="77777777">
    <w:pPr>
      <w:pStyle w:val="Footer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7C4EF17A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4AD42A53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2E9CF48A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7E270ED5" w14:textId="77777777">
    <w:pPr>
      <w:pStyle w:val="Header"/>
      <w:spacing w:after="240"/>
      <w:jc w:val="center"/>
    </w:pPr>
    <w:bookmarkStart w:id="5" w:name="_Hlk23403599"/>
    <w:bookmarkStart w:id="6" w:name="_Hlk23403600"/>
    <w:r w:rsidRPr="00EF68C9">
      <w:t>JOB/TBT/344</w:t>
    </w:r>
  </w:p>
  <w:p w:rsidR="00EF68C9" w:rsidRPr="00EF68C9" w:rsidP="00EF68C9" w14:paraId="3B70F299" w14:textId="77777777">
    <w:pPr>
      <w:pStyle w:val="Header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3508" w:rsidP="00583508" w14:paraId="5FE4F19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7" w:name="_Hlk23403601"/>
    <w:bookmarkStart w:id="8" w:name="_Hlk23403602"/>
    <w:bookmarkStart w:id="9" w:name="spsSymbolHeader"/>
    <w:r>
      <w:t>G/TBT/N/COL/255/Add.2</w:t>
    </w:r>
    <w:bookmarkEnd w:id="9"/>
  </w:p>
  <w:p w:rsidR="00470C19" w:rsidP="00583508" w14:paraId="6D156CF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68C9" w:rsidRPr="00EF68C9" w:rsidP="00583508" w14:paraId="6A035A7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193300F8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22C6F70D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46006BC3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1C35CD5E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54B8D780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5230262F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521921BF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57143F07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D763A2" w:rsidRPr="002F663C" w:rsidP="00D763A2" w14:paraId="3EC2CC01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16" w:name="bmkSymbols"/>
          <w:r w:rsidRPr="002F663C">
            <w:rPr>
              <w:rFonts w:eastAsia="Calibri" w:cs="Times New Roman"/>
              <w:b/>
              <w:szCs w:val="16"/>
            </w:rPr>
            <w:t>G/TBT/N/COL/255/Add.2</w:t>
          </w:r>
          <w:bookmarkEnd w:id="16"/>
        </w:p>
      </w:tc>
    </w:tr>
    <w:tr w14:paraId="319E979F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29307EFE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4484B19C" w14:textId="77777777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3 de junio de 2025</w:t>
          </w:r>
          <w:bookmarkEnd w:id="17"/>
        </w:p>
      </w:tc>
    </w:tr>
    <w:tr w14:paraId="423494C1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2C2B8275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b w:val="0"/>
              <w:color w:val="FF0000"/>
            </w:rPr>
            <w:t>(25-3594)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1C389839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ascii="Verdana" w:eastAsia="Verdana" w:hAnsi="Verdana" w:cs="Verdana"/>
              <w:sz w:val="18"/>
              <w:szCs w:val="18"/>
              <w:lang w:val="es-ES" w:eastAsia="en-US" w:bidi="ar-SA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7BE51552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763B85FA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648FCE2A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:rsidR="00ED54E0" w:rsidRPr="00EF68C9" w:rsidP="00EF68C9" w14:paraId="1E6FD27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971872">
    <w:abstractNumId w:val="9"/>
  </w:num>
  <w:num w:numId="2" w16cid:durableId="1955863470">
    <w:abstractNumId w:val="7"/>
  </w:num>
  <w:num w:numId="3" w16cid:durableId="2015567814">
    <w:abstractNumId w:val="6"/>
  </w:num>
  <w:num w:numId="4" w16cid:durableId="977491710">
    <w:abstractNumId w:val="5"/>
  </w:num>
  <w:num w:numId="5" w16cid:durableId="287009370">
    <w:abstractNumId w:val="4"/>
  </w:num>
  <w:num w:numId="6" w16cid:durableId="1629704472">
    <w:abstractNumId w:val="12"/>
  </w:num>
  <w:num w:numId="7" w16cid:durableId="1822429877">
    <w:abstractNumId w:val="11"/>
  </w:num>
  <w:num w:numId="8" w16cid:durableId="156309345">
    <w:abstractNumId w:val="10"/>
  </w:num>
  <w:num w:numId="9" w16cid:durableId="957377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6188594">
    <w:abstractNumId w:val="13"/>
  </w:num>
  <w:num w:numId="11" w16cid:durableId="679430126">
    <w:abstractNumId w:val="8"/>
  </w:num>
  <w:num w:numId="12" w16cid:durableId="860162730">
    <w:abstractNumId w:val="3"/>
  </w:num>
  <w:num w:numId="13" w16cid:durableId="1032346585">
    <w:abstractNumId w:val="2"/>
  </w:num>
  <w:num w:numId="14" w16cid:durableId="1779251359">
    <w:abstractNumId w:val="1"/>
  </w:num>
  <w:num w:numId="15" w16cid:durableId="1206985089">
    <w:abstractNumId w:val="0"/>
  </w:num>
  <w:num w:numId="16" w16cid:durableId="2102678899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name"/>
  <w:defaultTabStop w:val="567"/>
  <w:hyphenationZone w:val="425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83382"/>
    <w:rsid w:val="00992AEA"/>
    <w:rsid w:val="009A6F54"/>
    <w:rsid w:val="009F51A2"/>
    <w:rsid w:val="009F7637"/>
    <w:rsid w:val="00A0719E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5207B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6BB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members.wto.org/crnattachments/2025/TBT/COL/modification/25_03640_00_s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revision>1</cp:revision>
  <cp:lastPrinted>2019-10-31T07:40:00Z</cp:lastPrinted>
  <dcterms:created xsi:type="dcterms:W3CDTF">2025-06-03T08:41:00Z</dcterms:created>
  <dcterms:modified xsi:type="dcterms:W3CDTF">2025-06-03T08:41:00Z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