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B027" w14:textId="77777777" w:rsidR="002D78C9" w:rsidRPr="00EF68C9" w:rsidRDefault="001E1507" w:rsidP="00D31A79">
      <w:pPr>
        <w:pStyle w:val="Ttulo"/>
      </w:pPr>
      <w:r w:rsidRPr="00EF68C9">
        <w:t>NOTIFICACIÓN</w:t>
      </w:r>
    </w:p>
    <w:p w14:paraId="6FF6C8F8" w14:textId="77777777" w:rsidR="002F663C" w:rsidRPr="00EF68C9" w:rsidRDefault="001E1507" w:rsidP="00D31A79">
      <w:pPr>
        <w:pStyle w:val="Title3"/>
      </w:pPr>
      <w:r w:rsidRPr="00EF68C9">
        <w:t>Addendum</w:t>
      </w:r>
    </w:p>
    <w:p w14:paraId="6988B539" w14:textId="77777777" w:rsidR="002F663C" w:rsidRDefault="001E1507" w:rsidP="00B22706">
      <w:r w:rsidRPr="00EF68C9">
        <w:t>La siguiente comunicación, de fecha 21 de octubre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3C9D3189" w14:textId="77777777" w:rsidR="00B22706" w:rsidRPr="00EF68C9" w:rsidRDefault="00B22706" w:rsidP="00B22706">
      <w:pPr>
        <w:rPr>
          <w:rFonts w:eastAsia="Calibri" w:cs="Times New Roman"/>
        </w:rPr>
      </w:pPr>
    </w:p>
    <w:p w14:paraId="758228D6" w14:textId="77777777" w:rsidR="002F663C" w:rsidRPr="00EF68C9" w:rsidRDefault="001E1507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1D65924E" w14:textId="77777777" w:rsidR="002F663C" w:rsidRDefault="002F663C" w:rsidP="00EF68C9"/>
    <w:p w14:paraId="5CAA77DA" w14:textId="77777777" w:rsidR="00B22706" w:rsidRPr="00EF68C9" w:rsidRDefault="00B22706" w:rsidP="00EF68C9"/>
    <w:p w14:paraId="12C4C4E8" w14:textId="77777777" w:rsidR="002F663C" w:rsidRPr="00EF68C9" w:rsidRDefault="001E1507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Modificatoria 2 al Reglamento Técnico Ecuatoriano RTE INEN 142 "Llaves o válvulas de uso domiciliario" y a su Modificatoria 1</w:t>
      </w:r>
    </w:p>
    <w:p w14:paraId="21C2C28A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2200DF" w14:paraId="73D760F4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47ADDBD5" w14:textId="77777777" w:rsidR="002F663C" w:rsidRPr="00EF68C9" w:rsidRDefault="001E1507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2200DF" w14:paraId="0E02E32B" w14:textId="77777777" w:rsidTr="00D763A2">
        <w:tc>
          <w:tcPr>
            <w:tcW w:w="851" w:type="dxa"/>
          </w:tcPr>
          <w:p w14:paraId="28AF6408" w14:textId="77777777" w:rsidR="002F663C" w:rsidRPr="007B57C5" w:rsidRDefault="001E150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6B9D5641" w14:textId="77777777" w:rsidR="002F663C" w:rsidRPr="00EF68C9" w:rsidRDefault="001E1507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2200DF" w14:paraId="69B42FC0" w14:textId="77777777" w:rsidTr="00D763A2">
        <w:tc>
          <w:tcPr>
            <w:tcW w:w="851" w:type="dxa"/>
          </w:tcPr>
          <w:p w14:paraId="1FD19D4C" w14:textId="77777777" w:rsidR="002F663C" w:rsidRPr="007B57C5" w:rsidRDefault="001E150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78C3AAF" w14:textId="77777777" w:rsidR="002F663C" w:rsidRPr="00EF68C9" w:rsidRDefault="001E150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2200DF" w14:paraId="396E02A7" w14:textId="77777777" w:rsidTr="00D763A2">
        <w:tc>
          <w:tcPr>
            <w:tcW w:w="851" w:type="dxa"/>
          </w:tcPr>
          <w:p w14:paraId="4098D355" w14:textId="77777777" w:rsidR="002F663C" w:rsidRPr="007B57C5" w:rsidRDefault="001E150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1F04403" w14:textId="77777777" w:rsidR="002F663C" w:rsidRPr="00EF68C9" w:rsidRDefault="001E150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2200DF" w14:paraId="1E1264EA" w14:textId="77777777" w:rsidTr="00D763A2">
        <w:tc>
          <w:tcPr>
            <w:tcW w:w="851" w:type="dxa"/>
          </w:tcPr>
          <w:p w14:paraId="4C689928" w14:textId="77777777" w:rsidR="002F663C" w:rsidRPr="007B57C5" w:rsidRDefault="001E150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63C88139" w14:textId="77777777" w:rsidR="002F663C" w:rsidRPr="00EF68C9" w:rsidRDefault="001E150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</w:p>
        </w:tc>
      </w:tr>
      <w:tr w:rsidR="002200DF" w14:paraId="5AD5C30A" w14:textId="77777777" w:rsidTr="00D763A2">
        <w:tc>
          <w:tcPr>
            <w:tcW w:w="851" w:type="dxa"/>
          </w:tcPr>
          <w:p w14:paraId="42B62C7D" w14:textId="77777777" w:rsidR="002F663C" w:rsidRPr="007B57C5" w:rsidRDefault="001E150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61D59C30" w14:textId="77777777" w:rsidR="002F663C" w:rsidRPr="00EF68C9" w:rsidRDefault="001E1507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2200DF" w14:paraId="0A909599" w14:textId="77777777" w:rsidTr="00D763A2">
        <w:tc>
          <w:tcPr>
            <w:tcW w:w="851" w:type="dxa"/>
          </w:tcPr>
          <w:p w14:paraId="55A83C29" w14:textId="77777777" w:rsidR="002F663C" w:rsidRPr="007B57C5" w:rsidRDefault="001E150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218CF75" w14:textId="77777777" w:rsidR="00EF68C9" w:rsidRPr="00EF68C9" w:rsidRDefault="001E150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7CDB77D1" w14:textId="77777777" w:rsidR="002F663C" w:rsidRPr="00EF68C9" w:rsidRDefault="001E150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2200DF" w14:paraId="521094A0" w14:textId="77777777" w:rsidTr="00D763A2">
        <w:tc>
          <w:tcPr>
            <w:tcW w:w="851" w:type="dxa"/>
          </w:tcPr>
          <w:p w14:paraId="67C7CE0B" w14:textId="77777777" w:rsidR="002F663C" w:rsidRPr="007B57C5" w:rsidRDefault="001E150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7738766D" w14:textId="77777777" w:rsidR="00EF68C9" w:rsidRPr="00EF68C9" w:rsidRDefault="001E1507" w:rsidP="00745CBF">
            <w:pPr>
              <w:spacing w:before="60" w:after="12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4C242C28" w14:textId="77777777" w:rsidR="005127D6" w:rsidRDefault="001E1507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Modificatoria 2 al Reglamento Técnico Ecuatoriano RTE INEN 142 "Llaves o válvulas de uso domiciliario" y a su Modificatoria 1</w:t>
            </w:r>
          </w:p>
          <w:p w14:paraId="22BEDE6A" w14:textId="77777777" w:rsidR="005127D6" w:rsidRDefault="005127D6" w:rsidP="00745CBF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https://members.wto.org/crnattachments/2025/TBT/ECU/modification/25_07022_00_s.pdf</w:t>
              </w:r>
            </w:hyperlink>
          </w:p>
          <w:p w14:paraId="0F6740DB" w14:textId="77777777" w:rsidR="005127D6" w:rsidRDefault="005127D6" w:rsidP="00745CBF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https://members.wto.org/crnattachments/2025/TBT/ECU/modification/25_07022_01_s.pdf</w:t>
              </w:r>
            </w:hyperlink>
          </w:p>
          <w:p w14:paraId="072FDBD1" w14:textId="77777777" w:rsidR="002F663C" w:rsidRPr="00EF68C9" w:rsidRDefault="001E1507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2200DF" w14:paraId="133A8A39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6122A4B3" w14:textId="77777777" w:rsidR="002F663C" w:rsidRPr="007B57C5" w:rsidRDefault="001E150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09155A6C" w14:textId="77777777" w:rsidR="002F663C" w:rsidRPr="00360937" w:rsidRDefault="001E1507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2200DF" w14:paraId="46C676C4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47D56DE5" w14:textId="77777777" w:rsidR="002F663C" w:rsidRPr="007B57C5" w:rsidRDefault="001E150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61E5C514" w14:textId="77777777" w:rsidR="002F663C" w:rsidRPr="00EF68C9" w:rsidRDefault="001E150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46C729A0" w14:textId="77777777" w:rsidR="002F663C" w:rsidRPr="00EF68C9" w:rsidRDefault="002F663C" w:rsidP="00EF68C9"/>
    <w:p w14:paraId="6194B298" w14:textId="77777777" w:rsidR="003918E9" w:rsidRPr="00F95856" w:rsidRDefault="001E1507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La República del Ecuador pone a su conocimiento la Resolución Nro. MPCEI-SC-2025-0279-R - Modificatoria 2 al Reglamento Técnico Ecuatoriano RTE INEN 142 "Llaves o válvulas de uso domiciliario" y a su Modificatoria 1 contenida en la Resolución No. MPCEIP-SC-2025-0225-R del 24 </w:t>
      </w:r>
      <w:r w:rsidR="00EF68C9" w:rsidRPr="00EF68C9">
        <w:lastRenderedPageBreak/>
        <w:t>de julio de 2025, misma que entrará en vigencia desde su suscripción sin perjuicio de su publicación en el Registro Oficial.</w:t>
      </w:r>
    </w:p>
    <w:p w14:paraId="20945866" w14:textId="77777777" w:rsidR="00EF68C9" w:rsidRPr="00EF68C9" w:rsidRDefault="001E1507" w:rsidP="00B03883">
      <w:pPr>
        <w:spacing w:before="120" w:after="120"/>
      </w:pPr>
      <w:r w:rsidRPr="00EF68C9">
        <w:t>Esta Modificatoria 2 del RTE INEN 142 y a su Modificatoria 1, considera lo siguiente:</w:t>
      </w:r>
    </w:p>
    <w:p w14:paraId="760FF919" w14:textId="77777777" w:rsidR="00EF68C9" w:rsidRPr="00EF68C9" w:rsidRDefault="001E1507" w:rsidP="00B03883">
      <w:pPr>
        <w:spacing w:before="120" w:after="120"/>
      </w:pPr>
      <w:r w:rsidRPr="00EF68C9">
        <w:t xml:space="preserve">1.- En el cuerpo normativo de la </w:t>
      </w:r>
      <w:r w:rsidRPr="00EF68C9">
        <w:rPr>
          <w:b/>
          <w:bCs/>
        </w:rPr>
        <w:t>Modificatoria 1</w:t>
      </w:r>
      <w:r w:rsidRPr="00EF68C9">
        <w:t xml:space="preserve"> al RTE INEN 142 , contenida en la Resolución No. MPCEIP-SC-2025-0225-R del 24 de julio de 2025:</w:t>
      </w:r>
    </w:p>
    <w:p w14:paraId="5DD42F30" w14:textId="77777777" w:rsidR="00EF68C9" w:rsidRPr="00EF68C9" w:rsidRDefault="001E1507" w:rsidP="00B03883">
      <w:pPr>
        <w:numPr>
          <w:ilvl w:val="0"/>
          <w:numId w:val="17"/>
        </w:numPr>
        <w:spacing w:before="120" w:after="120"/>
      </w:pPr>
      <w:r w:rsidRPr="00EF68C9">
        <w:t xml:space="preserve">En todo el numeral "10. PROCEDIMIENTO PARA LA EVALUACIÓN DE LA CONFORMIDAD": </w:t>
      </w:r>
    </w:p>
    <w:p w14:paraId="30232F10" w14:textId="77777777" w:rsidR="00EF68C9" w:rsidRPr="00EF68C9" w:rsidRDefault="001E1507" w:rsidP="00B03883">
      <w:pPr>
        <w:numPr>
          <w:ilvl w:val="1"/>
          <w:numId w:val="17"/>
        </w:numPr>
        <w:spacing w:before="120" w:after="120"/>
      </w:pPr>
      <w:r w:rsidRPr="00EF68C9">
        <w:rPr>
          <w:b/>
          <w:bCs/>
        </w:rPr>
        <w:t xml:space="preserve">Donde dice: </w:t>
      </w:r>
      <w:r w:rsidRPr="00EF68C9">
        <w:rPr>
          <w:i/>
          <w:iCs/>
        </w:rPr>
        <w:t xml:space="preserve">"8.1"; </w:t>
      </w:r>
      <w:r w:rsidRPr="00EF68C9">
        <w:rPr>
          <w:b/>
          <w:bCs/>
        </w:rPr>
        <w:t xml:space="preserve">Debe decir: </w:t>
      </w:r>
      <w:r w:rsidRPr="00EF68C9">
        <w:rPr>
          <w:i/>
          <w:iCs/>
        </w:rPr>
        <w:t>"10.1".</w:t>
      </w:r>
    </w:p>
    <w:p w14:paraId="50D13E7F" w14:textId="77777777" w:rsidR="00EF68C9" w:rsidRPr="00EF68C9" w:rsidRDefault="001E1507" w:rsidP="00B03883">
      <w:pPr>
        <w:numPr>
          <w:ilvl w:val="1"/>
          <w:numId w:val="17"/>
        </w:numPr>
        <w:spacing w:before="120" w:after="120"/>
      </w:pPr>
      <w:r w:rsidRPr="00EF68C9">
        <w:t>Al final del numeral 10.3.6 de la Modificatoria 1 de RTE INEN 142 la expresión "; o," y reemplácese por "."</w:t>
      </w:r>
    </w:p>
    <w:p w14:paraId="06576522" w14:textId="77777777" w:rsidR="00EF68C9" w:rsidRPr="00EF68C9" w:rsidRDefault="001E1507" w:rsidP="00B03883">
      <w:pPr>
        <w:numPr>
          <w:ilvl w:val="1"/>
          <w:numId w:val="17"/>
        </w:numPr>
        <w:spacing w:before="120" w:after="120"/>
      </w:pPr>
      <w:r w:rsidRPr="00EF68C9">
        <w:t xml:space="preserve">En el "Artículo 3."; </w:t>
      </w:r>
      <w:r w:rsidRPr="00EF68C9">
        <w:rPr>
          <w:b/>
          <w:bCs/>
        </w:rPr>
        <w:t xml:space="preserve">Donde dice: </w:t>
      </w:r>
      <w:r w:rsidRPr="00EF68C9">
        <w:rPr>
          <w:b/>
          <w:bCs/>
          <w:i/>
          <w:iCs/>
        </w:rPr>
        <w:t>"ARTÍCULO 3.-</w:t>
      </w:r>
      <w:r w:rsidRPr="00EF68C9">
        <w:rPr>
          <w:i/>
          <w:iCs/>
        </w:rPr>
        <w:t xml:space="preserve"> La presente resolución entrará en vigor a partir del 12 de agosto del 2025, sin perjuicio de su publicación en el Registro Oficial. </w:t>
      </w:r>
      <w:r w:rsidRPr="00EF68C9">
        <w:rPr>
          <w:b/>
          <w:bCs/>
        </w:rPr>
        <w:t xml:space="preserve">Debe decir: </w:t>
      </w:r>
      <w:r w:rsidRPr="00EF68C9">
        <w:rPr>
          <w:b/>
          <w:bCs/>
          <w:i/>
          <w:iCs/>
        </w:rPr>
        <w:t>"ARTÍCULO 3.-</w:t>
      </w:r>
      <w:r w:rsidRPr="00EF68C9">
        <w:rPr>
          <w:i/>
          <w:iCs/>
        </w:rPr>
        <w:t xml:space="preserve"> La presente resolución entrará en vigor a partir del 12 de marzo del 2026, sin perjuicio de su publicación en el Registro Oficial."</w:t>
      </w:r>
    </w:p>
    <w:p w14:paraId="61CF7868" w14:textId="77777777" w:rsidR="00EF68C9" w:rsidRPr="00EF68C9" w:rsidRDefault="001E1507" w:rsidP="00B03883">
      <w:pPr>
        <w:spacing w:before="120" w:after="120"/>
        <w:rPr>
          <w:i/>
          <w:iCs/>
        </w:rPr>
      </w:pPr>
      <w:r w:rsidRPr="00EF68C9">
        <w:rPr>
          <w:i/>
          <w:iCs/>
        </w:rPr>
        <w:t xml:space="preserve">2.- </w:t>
      </w:r>
      <w:r w:rsidRPr="00EF68C9">
        <w:t>En el cuerpo normativo del Reglamento Técnico Ecuatoriano RTE INEN 142 "Llaves o válvulas de uso domiciliario" contenido en la Resolución No. 14 404 del 15 de agosto de 2014, modificar lo siguiente:</w:t>
      </w:r>
    </w:p>
    <w:p w14:paraId="6F4B0A51" w14:textId="77777777" w:rsidR="00EF68C9" w:rsidRPr="00EF68C9" w:rsidRDefault="001E1507" w:rsidP="00B03883">
      <w:pPr>
        <w:numPr>
          <w:ilvl w:val="0"/>
          <w:numId w:val="18"/>
        </w:numPr>
        <w:spacing w:before="120" w:after="120"/>
      </w:pPr>
      <w:r w:rsidRPr="00EF68C9">
        <w:t>En el numeral "3. DEFINICIONES"</w:t>
      </w:r>
    </w:p>
    <w:p w14:paraId="2CD7ABC8" w14:textId="77777777" w:rsidR="00EF68C9" w:rsidRPr="00EF68C9" w:rsidRDefault="001E1507" w:rsidP="00B03883">
      <w:pPr>
        <w:numPr>
          <w:ilvl w:val="1"/>
          <w:numId w:val="18"/>
        </w:numPr>
        <w:spacing w:before="120" w:after="120"/>
      </w:pPr>
      <w:r w:rsidRPr="00EF68C9">
        <w:rPr>
          <w:b/>
          <w:bCs/>
        </w:rPr>
        <w:t xml:space="preserve">Donde dice: </w:t>
      </w:r>
      <w:r w:rsidRPr="00EF68C9">
        <w:rPr>
          <w:i/>
          <w:iCs/>
        </w:rPr>
        <w:t xml:space="preserve">"Para efectos de este Reglamento Técnico, se adoptan las definiciones contempladas en la norma INEN 965 vigente y las que a continuación se detallan:" </w:t>
      </w:r>
      <w:r w:rsidRPr="00EF68C9">
        <w:rPr>
          <w:b/>
          <w:bCs/>
        </w:rPr>
        <w:t xml:space="preserve">Debe decir: </w:t>
      </w:r>
      <w:r w:rsidRPr="00EF68C9">
        <w:rPr>
          <w:i/>
          <w:iCs/>
        </w:rPr>
        <w:t>"Para efectos de este Reglamento Técnico, se adoptan las definiciones contempladas en la norma NTE INEN 3123 y las que a continuación se detallan:"</w:t>
      </w:r>
    </w:p>
    <w:p w14:paraId="68E5CFED" w14:textId="77777777" w:rsidR="00EF68C9" w:rsidRPr="00EF68C9" w:rsidRDefault="001E1507" w:rsidP="00B03883">
      <w:pPr>
        <w:numPr>
          <w:ilvl w:val="0"/>
          <w:numId w:val="18"/>
        </w:numPr>
        <w:spacing w:before="120" w:after="120"/>
      </w:pPr>
      <w:r w:rsidRPr="00EF68C9">
        <w:t>Eliminar todo el numeral "4. CLASIFICACIÓN"</w:t>
      </w:r>
    </w:p>
    <w:p w14:paraId="5366A0BF" w14:textId="77777777" w:rsidR="00EF68C9" w:rsidRPr="00EF68C9" w:rsidRDefault="001E1507" w:rsidP="00B03883">
      <w:pPr>
        <w:numPr>
          <w:ilvl w:val="0"/>
          <w:numId w:val="18"/>
        </w:numPr>
        <w:spacing w:before="120" w:after="120"/>
      </w:pPr>
      <w:r w:rsidRPr="00EF68C9">
        <w:t>En el numeral "5. REQUISITOS DE PRODUCTO"</w:t>
      </w:r>
    </w:p>
    <w:p w14:paraId="23319D93" w14:textId="77777777" w:rsidR="00EF68C9" w:rsidRPr="00EF68C9" w:rsidRDefault="001E1507" w:rsidP="00B03883">
      <w:pPr>
        <w:numPr>
          <w:ilvl w:val="1"/>
          <w:numId w:val="18"/>
        </w:numPr>
        <w:spacing w:before="120" w:after="120"/>
      </w:pPr>
      <w:r w:rsidRPr="00EF68C9">
        <w:rPr>
          <w:b/>
          <w:bCs/>
        </w:rPr>
        <w:t xml:space="preserve">Donde dice: </w:t>
      </w:r>
      <w:r w:rsidRPr="00EF68C9">
        <w:rPr>
          <w:i/>
          <w:iCs/>
        </w:rPr>
        <w:t xml:space="preserve">"5.1 Los productos contemplados en este reglamento técnico deben cumplir con los requisitos establecidos en la norma NTE INEN 968 vigente."; </w:t>
      </w:r>
      <w:r w:rsidRPr="00EF68C9">
        <w:rPr>
          <w:b/>
          <w:bCs/>
        </w:rPr>
        <w:t xml:space="preserve">Debe decir: </w:t>
      </w:r>
      <w:r w:rsidRPr="00EF68C9">
        <w:rPr>
          <w:i/>
          <w:iCs/>
        </w:rPr>
        <w:t>"5.1 Los productos contemplados en este reglamento técnico deben cumplir con los requisitos establecidos en la norma NTE INEN 3123."</w:t>
      </w:r>
    </w:p>
    <w:p w14:paraId="4176D03E" w14:textId="77777777" w:rsidR="00EF68C9" w:rsidRPr="00EF68C9" w:rsidRDefault="001E1507" w:rsidP="00B03883">
      <w:pPr>
        <w:numPr>
          <w:ilvl w:val="0"/>
          <w:numId w:val="18"/>
        </w:numPr>
        <w:spacing w:before="120" w:after="120"/>
      </w:pPr>
      <w:r w:rsidRPr="00EF68C9">
        <w:t>En el numeral "6. REQUISITOS DE ROTULADO"</w:t>
      </w:r>
    </w:p>
    <w:p w14:paraId="061FAB13" w14:textId="77777777" w:rsidR="00EF68C9" w:rsidRPr="00EF68C9" w:rsidRDefault="001E1507" w:rsidP="00B03883">
      <w:pPr>
        <w:numPr>
          <w:ilvl w:val="1"/>
          <w:numId w:val="18"/>
        </w:numPr>
        <w:spacing w:before="120" w:after="120"/>
      </w:pPr>
      <w:r w:rsidRPr="00EF68C9">
        <w:rPr>
          <w:b/>
          <w:bCs/>
        </w:rPr>
        <w:t xml:space="preserve">Donde dice: </w:t>
      </w:r>
      <w:r w:rsidRPr="00EF68C9">
        <w:rPr>
          <w:i/>
          <w:iCs/>
        </w:rPr>
        <w:t xml:space="preserve">"6.1 El rotulado de los productos contemplados en este reglamento técnico deben cumplir con los requisitos establecidos en la norma NTE INEN 968 vigente." </w:t>
      </w:r>
      <w:r w:rsidRPr="00EF68C9">
        <w:rPr>
          <w:b/>
          <w:bCs/>
        </w:rPr>
        <w:t xml:space="preserve">Debe decir: </w:t>
      </w:r>
      <w:r w:rsidRPr="00EF68C9">
        <w:rPr>
          <w:i/>
          <w:iCs/>
        </w:rPr>
        <w:t>"6.1 El rotulado de los productos contemplados en este reglamento técnico deben cumplir con los requisitos establecidos en la norma NTE INEN 3123."</w:t>
      </w:r>
    </w:p>
    <w:p w14:paraId="07F2B57F" w14:textId="77777777" w:rsidR="00EF68C9" w:rsidRPr="00EF68C9" w:rsidRDefault="001E1507" w:rsidP="00B03883">
      <w:pPr>
        <w:numPr>
          <w:ilvl w:val="0"/>
          <w:numId w:val="18"/>
        </w:numPr>
        <w:spacing w:before="120" w:after="120"/>
      </w:pPr>
      <w:r w:rsidRPr="00EF68C9">
        <w:t>En el numeral "7. ENSAYOS PARA EVALUAR LA CONFORMIDAD"</w:t>
      </w:r>
    </w:p>
    <w:p w14:paraId="05298874" w14:textId="77777777" w:rsidR="00EF68C9" w:rsidRPr="00EF68C9" w:rsidRDefault="001E1507" w:rsidP="00B03883">
      <w:pPr>
        <w:numPr>
          <w:ilvl w:val="1"/>
          <w:numId w:val="18"/>
        </w:numPr>
        <w:spacing w:before="120" w:after="120"/>
      </w:pPr>
      <w:r w:rsidRPr="00EF68C9">
        <w:rPr>
          <w:b/>
          <w:bCs/>
        </w:rPr>
        <w:t xml:space="preserve">Donde dice: </w:t>
      </w:r>
      <w:r w:rsidRPr="00EF68C9">
        <w:t xml:space="preserve">7.1 Los métodos de ensayo para evaluar la conformidad de los elementos indicados en el presente reglamento técnico, deben ser según lo especificado en la norma NTE INEN 967 vigente. </w:t>
      </w:r>
      <w:r w:rsidRPr="00EF68C9">
        <w:rPr>
          <w:b/>
          <w:bCs/>
        </w:rPr>
        <w:t xml:space="preserve">Debe decir: </w:t>
      </w:r>
      <w:r w:rsidRPr="00EF68C9">
        <w:t>7.1 Los métodos de ensayo para evaluar la conformidad de los productos objeto de aplicación del presente reglamento técnico, deben ser los establecidos en la norma NTE INEN 3123.</w:t>
      </w:r>
    </w:p>
    <w:p w14:paraId="25649047" w14:textId="77777777" w:rsidR="00EF68C9" w:rsidRPr="00EF68C9" w:rsidRDefault="001E1507" w:rsidP="00B03883">
      <w:pPr>
        <w:numPr>
          <w:ilvl w:val="0"/>
          <w:numId w:val="18"/>
        </w:numPr>
        <w:spacing w:before="120" w:after="120"/>
      </w:pPr>
      <w:r w:rsidRPr="00EF68C9">
        <w:t>En el numeral "9. DOCUMENTOS NORMATIVOS DE REFERENCIA"</w:t>
      </w:r>
    </w:p>
    <w:p w14:paraId="1DFFA7DF" w14:textId="77777777" w:rsidR="00EF68C9" w:rsidRPr="00EF68C9" w:rsidRDefault="001E1507" w:rsidP="00B03883">
      <w:pPr>
        <w:numPr>
          <w:ilvl w:val="1"/>
          <w:numId w:val="18"/>
        </w:numPr>
        <w:spacing w:before="120" w:after="120"/>
      </w:pPr>
      <w:r w:rsidRPr="00EF68C9">
        <w:rPr>
          <w:b/>
          <w:bCs/>
        </w:rPr>
        <w:t>Donde dice: "</w:t>
      </w:r>
      <w:r w:rsidRPr="00EF68C9">
        <w:rPr>
          <w:i/>
          <w:iCs/>
        </w:rPr>
        <w:t>9.1 Norma NTE INEN 965. Grifería. Llaves. Terminología y Clasificación; 9.2 Norma NTE INEN 967. Grifería. Llaves. Métodos de ensayo; 9.3 Norma NTE INEN 968. Grifería. Llaves. Requisitos; 9.4 Norma Técnica Ecuatoriana NTE INEN-ISO 2859-1 Parte 1 Procedimientos de muestreo para inspección por atributos. Parte 1. Programas de muestreo clasificados por el nivel aceptable de calidad (AQL) para inspección lote a lote; 9.5 Norma ISO/IEC 17067 "Evaluación de la conformidad. Fundamentos de certificación de productos</w:t>
      </w:r>
      <w:r w:rsidRPr="00EF68C9">
        <w:rPr>
          <w:i/>
          <w:iCs/>
        </w:rPr>
        <w:t xml:space="preserve"> y directrices aplicables a los esquemas de certificación de producto"; 9.6 Norma Técnica Ecuatoriana NTE INEN–ISO/IEC 17050-1 "Evaluación de la Conformidad –Declaración de la conformidad del proveedor. Parte 1: Requisitos Generales". </w:t>
      </w:r>
      <w:r w:rsidRPr="00EF68C9">
        <w:rPr>
          <w:b/>
          <w:bCs/>
          <w:i/>
          <w:iCs/>
        </w:rPr>
        <w:t>D</w:t>
      </w:r>
      <w:r w:rsidRPr="00EF68C9">
        <w:rPr>
          <w:b/>
          <w:bCs/>
        </w:rPr>
        <w:t xml:space="preserve">ebe decir: </w:t>
      </w:r>
      <w:r w:rsidRPr="00EF68C9">
        <w:rPr>
          <w:b/>
          <w:bCs/>
          <w:i/>
          <w:iCs/>
        </w:rPr>
        <w:t>"9.1</w:t>
      </w:r>
      <w:r w:rsidRPr="00EF68C9">
        <w:rPr>
          <w:i/>
          <w:iCs/>
        </w:rPr>
        <w:t xml:space="preserve"> NTE INEN 3123, "Grifería. Llaves. Definiciones, requisitos y métodos de ensayo, Primera Revisión, 2019-02"; </w:t>
      </w:r>
      <w:r w:rsidRPr="00EF68C9">
        <w:rPr>
          <w:b/>
          <w:bCs/>
          <w:i/>
          <w:iCs/>
        </w:rPr>
        <w:t>9.2</w:t>
      </w:r>
      <w:r w:rsidRPr="00EF68C9">
        <w:rPr>
          <w:i/>
          <w:iCs/>
        </w:rPr>
        <w:t xml:space="preserve"> Norma ISO 2859-1:1999+Amd 1: 2011, Procedimientos de </w:t>
      </w:r>
      <w:r w:rsidRPr="00EF68C9">
        <w:rPr>
          <w:i/>
          <w:iCs/>
        </w:rPr>
        <w:lastRenderedPageBreak/>
        <w:t>muestreo para inspección por atributos. Parte 1. Programas de muestreo clasificados por el nive</w:t>
      </w:r>
      <w:r w:rsidRPr="00EF68C9">
        <w:rPr>
          <w:i/>
          <w:iCs/>
        </w:rPr>
        <w:t xml:space="preserve">l aceptable de calidad (AQL) para inspección lote a lote; </w:t>
      </w:r>
      <w:r w:rsidRPr="00EF68C9">
        <w:rPr>
          <w:b/>
          <w:bCs/>
          <w:i/>
          <w:iCs/>
        </w:rPr>
        <w:t>9.3</w:t>
      </w:r>
      <w:r w:rsidRPr="00EF68C9">
        <w:rPr>
          <w:i/>
          <w:iCs/>
        </w:rPr>
        <w:t xml:space="preserve"> Norma ISO/IEC 17050-1:2004, Evaluación de la Conformidad – Declaración de la conformidad del proveedor. Parte 1: Requisitos Generales; </w:t>
      </w:r>
      <w:r w:rsidRPr="00EF68C9">
        <w:rPr>
          <w:b/>
          <w:bCs/>
          <w:i/>
          <w:iCs/>
        </w:rPr>
        <w:t xml:space="preserve">9.4 </w:t>
      </w:r>
      <w:r w:rsidRPr="00EF68C9">
        <w:rPr>
          <w:i/>
          <w:iCs/>
        </w:rPr>
        <w:t>Norma ISO/IEC 17067:2013, Evaluación de la conformidad. Fundamentos de certificación de productos y directrices aplicables a los esquemas de certificación de producto."</w:t>
      </w:r>
    </w:p>
    <w:p w14:paraId="73D7D2B3" w14:textId="77777777" w:rsidR="00EF68C9" w:rsidRPr="00EF68C9" w:rsidRDefault="001E1507" w:rsidP="00B03883">
      <w:pPr>
        <w:spacing w:before="120" w:after="120"/>
      </w:pPr>
      <w:r w:rsidRPr="00EF68C9">
        <w:t>Es necesario mencionar que, con respecto a la Resolución Nro. MPCEI-SC-2025-0279-R del 17 de octubre de 2025 - Modificatoria 2 al Reglamento Técnico Ecuatoriano RTE INEN 142 "Llaves o válvulas de uso domiciliario" y a su Modificatoria 1 contenida en Resolución No. MPCEIP-SC-2025-0225-R del 24 de julio de 2025, como Ecuador hemos seguido todos los lineamientos de transparencia y notificación determinados por la OMC.</w:t>
      </w:r>
    </w:p>
    <w:p w14:paraId="39BB222D" w14:textId="77777777" w:rsidR="00D60927" w:rsidRPr="00B22706" w:rsidRDefault="001E1507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A01C" w14:textId="77777777" w:rsidR="001E1507" w:rsidRDefault="001E1507">
      <w:r>
        <w:separator/>
      </w:r>
    </w:p>
  </w:endnote>
  <w:endnote w:type="continuationSeparator" w:id="0">
    <w:p w14:paraId="7EE7DA1B" w14:textId="77777777" w:rsidR="001E1507" w:rsidRDefault="001E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9028" w14:textId="77777777" w:rsidR="00544326" w:rsidRPr="00EF68C9" w:rsidRDefault="001E1507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A5B5" w14:textId="77777777" w:rsidR="00544326" w:rsidRPr="00EF68C9" w:rsidRDefault="001E1507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BBD4" w14:textId="77777777" w:rsidR="00EF68C9" w:rsidRPr="00EF68C9" w:rsidRDefault="001E1507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3BDB" w14:textId="77777777" w:rsidR="00324956" w:rsidRPr="00EF68C9" w:rsidRDefault="001E1507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107DBF6D" w14:textId="77777777" w:rsidR="00324956" w:rsidRPr="00EF68C9" w:rsidRDefault="001E1507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524AA073" w14:textId="77777777" w:rsidR="00F95856" w:rsidRPr="00F95856" w:rsidRDefault="001E150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07FD" w14:textId="77777777" w:rsidR="00EF68C9" w:rsidRPr="00EF68C9" w:rsidRDefault="001E1507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76396DB1" w14:textId="77777777" w:rsidR="00EF68C9" w:rsidRPr="00EF68C9" w:rsidRDefault="001E1507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F68A" w14:textId="77777777" w:rsidR="00583508" w:rsidRPr="001E1507" w:rsidRDefault="001E1507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1E1507">
      <w:rPr>
        <w:lang w:val="en-US"/>
      </w:rPr>
      <w:t>G/TBT/N/ECU/180/Add.5</w:t>
    </w:r>
    <w:bookmarkEnd w:id="7"/>
  </w:p>
  <w:p w14:paraId="253208F7" w14:textId="77777777" w:rsidR="00470C19" w:rsidRPr="001E1507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0B8EB6BD" w14:textId="77777777" w:rsidR="00EF68C9" w:rsidRPr="00EF68C9" w:rsidRDefault="001E1507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3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2200DF" w14:paraId="77D6BC2E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1B64A520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7F1F88F9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2200DF" w14:paraId="04804C16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03FE1724" w14:textId="77777777" w:rsidR="00EF68C9" w:rsidRPr="00EF68C9" w:rsidRDefault="001E1507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4EC76E51" wp14:editId="53DFF86F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45CA7F3E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2200DF" w:rsidRPr="001E1507" w14:paraId="21DE0531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48F3A44F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45F34D01" w14:textId="77777777" w:rsidR="00D763A2" w:rsidRPr="001E1507" w:rsidRDefault="001E1507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1E1507">
            <w:rPr>
              <w:rFonts w:eastAsia="Calibri" w:cs="Times New Roman"/>
              <w:b/>
              <w:szCs w:val="16"/>
              <w:lang w:val="en-US"/>
            </w:rPr>
            <w:t>G/TBT/N/ECU/180/Add.5</w:t>
          </w:r>
          <w:bookmarkEnd w:id="16"/>
        </w:p>
      </w:tc>
    </w:tr>
    <w:tr w:rsidR="002200DF" w14:paraId="4FC1DA0F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5D79FCDE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2BE6C936" w14:textId="77777777" w:rsidR="00EF68C9" w:rsidRPr="00EF68C9" w:rsidRDefault="001E1507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21 de octubre de 2025</w:t>
          </w:r>
          <w:bookmarkEnd w:id="17"/>
        </w:p>
      </w:tc>
    </w:tr>
    <w:tr w:rsidR="002200DF" w14:paraId="29F6B70A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D74930" w14:textId="77777777" w:rsidR="00EF68C9" w:rsidRPr="00EF68C9" w:rsidRDefault="001E1507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eastAsia="Verdana" w:cs="Verdana"/>
              <w:color w:val="FF0000"/>
            </w:rPr>
            <w:t>(25-6794)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1FAB2E" w14:textId="77777777" w:rsidR="00EF68C9" w:rsidRPr="00EF68C9" w:rsidRDefault="001E1507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3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2200DF" w14:paraId="1D13AF36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D8BE5D" w14:textId="77777777" w:rsidR="00EF68C9" w:rsidRPr="00EF68C9" w:rsidRDefault="001E1507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2E0BFDC8" w14:textId="77777777" w:rsidR="00EF68C9" w:rsidRPr="00EF68C9" w:rsidRDefault="001E1507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17355E05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B369F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B604272" w:tentative="1">
      <w:start w:val="1"/>
      <w:numFmt w:val="lowerLetter"/>
      <w:lvlText w:val="%2."/>
      <w:lvlJc w:val="left"/>
      <w:pPr>
        <w:ind w:left="1080" w:hanging="360"/>
      </w:pPr>
    </w:lvl>
    <w:lvl w:ilvl="2" w:tplc="86A026CA" w:tentative="1">
      <w:start w:val="1"/>
      <w:numFmt w:val="lowerRoman"/>
      <w:lvlText w:val="%3."/>
      <w:lvlJc w:val="right"/>
      <w:pPr>
        <w:ind w:left="1800" w:hanging="180"/>
      </w:pPr>
    </w:lvl>
    <w:lvl w:ilvl="3" w:tplc="729095C8" w:tentative="1">
      <w:start w:val="1"/>
      <w:numFmt w:val="decimal"/>
      <w:lvlText w:val="%4."/>
      <w:lvlJc w:val="left"/>
      <w:pPr>
        <w:ind w:left="2520" w:hanging="360"/>
      </w:pPr>
    </w:lvl>
    <w:lvl w:ilvl="4" w:tplc="93F6E3DC" w:tentative="1">
      <w:start w:val="1"/>
      <w:numFmt w:val="lowerLetter"/>
      <w:lvlText w:val="%5."/>
      <w:lvlJc w:val="left"/>
      <w:pPr>
        <w:ind w:left="3240" w:hanging="360"/>
      </w:pPr>
    </w:lvl>
    <w:lvl w:ilvl="5" w:tplc="2F54287A" w:tentative="1">
      <w:start w:val="1"/>
      <w:numFmt w:val="lowerRoman"/>
      <w:lvlText w:val="%6."/>
      <w:lvlJc w:val="right"/>
      <w:pPr>
        <w:ind w:left="3960" w:hanging="180"/>
      </w:pPr>
    </w:lvl>
    <w:lvl w:ilvl="6" w:tplc="4DB0E584" w:tentative="1">
      <w:start w:val="1"/>
      <w:numFmt w:val="decimal"/>
      <w:lvlText w:val="%7."/>
      <w:lvlJc w:val="left"/>
      <w:pPr>
        <w:ind w:left="4680" w:hanging="360"/>
      </w:pPr>
    </w:lvl>
    <w:lvl w:ilvl="7" w:tplc="A322F568" w:tentative="1">
      <w:start w:val="1"/>
      <w:numFmt w:val="lowerLetter"/>
      <w:lvlText w:val="%8."/>
      <w:lvlJc w:val="left"/>
      <w:pPr>
        <w:ind w:left="5400" w:hanging="360"/>
      </w:pPr>
    </w:lvl>
    <w:lvl w:ilvl="8" w:tplc="36DE4F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52E20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68FD0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C010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A7E77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B232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12C9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8C7B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62B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8CEB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933AB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5EF2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FF07A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9EE0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7801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88A9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88CF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9899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EE4B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731609305">
    <w:abstractNumId w:val="9"/>
  </w:num>
  <w:num w:numId="2" w16cid:durableId="685523009">
    <w:abstractNumId w:val="7"/>
  </w:num>
  <w:num w:numId="3" w16cid:durableId="1926455674">
    <w:abstractNumId w:val="6"/>
  </w:num>
  <w:num w:numId="4" w16cid:durableId="135879520">
    <w:abstractNumId w:val="5"/>
  </w:num>
  <w:num w:numId="5" w16cid:durableId="2119060426">
    <w:abstractNumId w:val="4"/>
  </w:num>
  <w:num w:numId="6" w16cid:durableId="610822939">
    <w:abstractNumId w:val="12"/>
  </w:num>
  <w:num w:numId="7" w16cid:durableId="1272662771">
    <w:abstractNumId w:val="11"/>
  </w:num>
  <w:num w:numId="8" w16cid:durableId="537861579">
    <w:abstractNumId w:val="10"/>
  </w:num>
  <w:num w:numId="9" w16cid:durableId="409235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7402530">
    <w:abstractNumId w:val="13"/>
  </w:num>
  <w:num w:numId="11" w16cid:durableId="1846627852">
    <w:abstractNumId w:val="8"/>
  </w:num>
  <w:num w:numId="12" w16cid:durableId="1504709966">
    <w:abstractNumId w:val="3"/>
  </w:num>
  <w:num w:numId="13" w16cid:durableId="1426146657">
    <w:abstractNumId w:val="2"/>
  </w:num>
  <w:num w:numId="14" w16cid:durableId="1520898312">
    <w:abstractNumId w:val="1"/>
  </w:num>
  <w:num w:numId="15" w16cid:durableId="595749950">
    <w:abstractNumId w:val="0"/>
  </w:num>
  <w:num w:numId="16" w16cid:durableId="1286354626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764497236">
    <w:abstractNumId w:val="14"/>
  </w:num>
  <w:num w:numId="18" w16cid:durableId="7167077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56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5777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1507"/>
    <w:rsid w:val="001E291F"/>
    <w:rsid w:val="002200DF"/>
    <w:rsid w:val="00230E74"/>
    <w:rsid w:val="00233408"/>
    <w:rsid w:val="0027067B"/>
    <w:rsid w:val="00281997"/>
    <w:rsid w:val="002C181E"/>
    <w:rsid w:val="002D78C9"/>
    <w:rsid w:val="002F41E7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05244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45664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51AC"/>
  <w15:docId w15:val="{37898050-3E97-4FC8-ADDC-8F945F90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TBT/ECU/modification/25_07022_00_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5/TBT/ECU/modification/25_07022_01_s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1</TotalTime>
  <Pages>3</Pages>
  <Words>993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>Greenleaves, Jane</dc:creator>
  <dc:description>LDIMD - DTU</dc:description>
  <cp:lastModifiedBy>Eduardo Yepez</cp:lastModifiedBy>
  <cp:revision>2</cp:revision>
  <cp:lastPrinted>2019-10-31T07:40:00Z</cp:lastPrinted>
  <dcterms:created xsi:type="dcterms:W3CDTF">2025-10-21T16:51:00Z</dcterms:created>
  <dcterms:modified xsi:type="dcterms:W3CDTF">2025-10-21T16:51:00Z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NC</vt:lpwstr>
  </property>
</Properties>
</file>