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A6311" w14:textId="77777777" w:rsidR="00B531D9" w:rsidRPr="003A3E55" w:rsidRDefault="00A775A0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38F7670E" w14:textId="77777777" w:rsidR="00B531D9" w:rsidRPr="003A3E55" w:rsidRDefault="00A775A0" w:rsidP="003A3E55">
      <w:pPr>
        <w:jc w:val="center"/>
      </w:pPr>
      <w:r w:rsidRPr="003A3E55">
        <w:t>Se da traslado de la notificación siguiente de conformidad con el artículo 10.6.</w:t>
      </w:r>
    </w:p>
    <w:p w14:paraId="063962E0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725A20" w14:paraId="6B8BDE8A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6292D63B" w14:textId="77777777" w:rsidR="00A52F73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363191BE" w14:textId="77777777" w:rsidR="00A52F73" w:rsidRPr="003A3E55" w:rsidRDefault="00A775A0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26B0E69D" w14:textId="77777777" w:rsidR="00A52F73" w:rsidRPr="003A3E55" w:rsidRDefault="00A775A0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725A20" w14:paraId="75C58BFA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5353D" w14:textId="77777777" w:rsidR="00A52F73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84E96" w14:textId="77777777" w:rsidR="00A52F73" w:rsidRPr="003A3E55" w:rsidRDefault="00A775A0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562B99D9" w14:textId="77777777" w:rsidR="00AF251E" w:rsidRPr="003A3E55" w:rsidRDefault="00A775A0" w:rsidP="00873EB4">
            <w:r w:rsidRPr="003A3E55">
              <w:t xml:space="preserve">Servicio </w:t>
            </w:r>
            <w:r w:rsidRPr="003A3E55">
              <w:t>Ecuatoriano de Normalización INEN</w:t>
            </w:r>
          </w:p>
          <w:p w14:paraId="61B9ED00" w14:textId="77777777" w:rsidR="00AF251E" w:rsidRPr="003A3E55" w:rsidRDefault="00A775A0" w:rsidP="00873EB4">
            <w:r w:rsidRPr="003A3E55">
              <w:t>Calle Baquerizo Moreno E8-29 y Diego de Almagro</w:t>
            </w:r>
          </w:p>
          <w:p w14:paraId="34C60AAB" w14:textId="77777777" w:rsidR="00AF251E" w:rsidRPr="003A3E55" w:rsidRDefault="00A775A0" w:rsidP="00873EB4">
            <w:r w:rsidRPr="003A3E55">
              <w:t>Teléfono: (+593-2) 3825960 al 90</w:t>
            </w:r>
          </w:p>
          <w:p w14:paraId="2C940AA7" w14:textId="77777777" w:rsidR="00AF251E" w:rsidRPr="003A3E55" w:rsidRDefault="00A775A0" w:rsidP="00873EB4">
            <w:pPr>
              <w:spacing w:after="120"/>
            </w:pPr>
            <w:r w:rsidRPr="003A3E55">
              <w:t>Página WEB: www.normalizacion.gob.ec</w:t>
            </w:r>
          </w:p>
          <w:p w14:paraId="46697BEA" w14:textId="77777777" w:rsidR="00A52F73" w:rsidRPr="003A3E55" w:rsidRDefault="00A775A0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57C39247" w14:textId="77777777" w:rsidR="00A22D74" w:rsidRPr="006A63E9" w:rsidRDefault="00A775A0" w:rsidP="008849EF">
            <w:r w:rsidRPr="006A63E9">
              <w:t>Subsecretaría de Calidad</w:t>
            </w:r>
          </w:p>
          <w:p w14:paraId="04CF9892" w14:textId="77777777" w:rsidR="00A22D74" w:rsidRPr="006A63E9" w:rsidRDefault="00A775A0" w:rsidP="008849EF">
            <w:r w:rsidRPr="006A63E9">
              <w:t>Ministerio de Producción, Comercio, Exterior, Inversiones y Pesca (MPCEIP)</w:t>
            </w:r>
          </w:p>
          <w:p w14:paraId="2B1CC64C" w14:textId="77777777" w:rsidR="00A22D74" w:rsidRPr="006A63E9" w:rsidRDefault="00A775A0" w:rsidP="008849EF">
            <w:r w:rsidRPr="006A63E9">
              <w:t>Dirección: Av. Amazonas entre Unión Nacional de Periodistas y Alfonso Pereira, Piso 8, Bloque amarillo</w:t>
            </w:r>
          </w:p>
          <w:p w14:paraId="09F0205D" w14:textId="77777777" w:rsidR="00A22D74" w:rsidRPr="006A63E9" w:rsidRDefault="00A775A0" w:rsidP="008849EF">
            <w:r w:rsidRPr="006A63E9">
              <w:t>Teléfono: (+593 2) 3948760 Ext. 2254 - 2272</w:t>
            </w:r>
          </w:p>
          <w:p w14:paraId="5C163F97" w14:textId="77777777" w:rsidR="00A22D74" w:rsidRPr="006A63E9" w:rsidRDefault="00A775A0" w:rsidP="008849EF">
            <w:r w:rsidRPr="006A63E9">
              <w:t>Punto de Contacto: Cristian Yépez</w:t>
            </w:r>
          </w:p>
          <w:p w14:paraId="5C925959" w14:textId="77777777" w:rsidR="00A22D74" w:rsidRPr="006A63E9" w:rsidRDefault="00A775A0" w:rsidP="008849EF">
            <w:r w:rsidRPr="006A63E9">
              <w:t>Correo electrónico:</w:t>
            </w:r>
          </w:p>
          <w:p w14:paraId="757A8ED5" w14:textId="77777777" w:rsidR="00A22D74" w:rsidRPr="006A63E9" w:rsidRDefault="00A22D74" w:rsidP="008849EF">
            <w:hyperlink r:id="rId7" w:history="1">
              <w:r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79C689F8" w14:textId="77777777" w:rsidR="00A22D74" w:rsidRPr="006A63E9" w:rsidRDefault="00A22D74" w:rsidP="008849EF">
            <w:hyperlink r:id="rId8" w:history="1">
              <w:r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50A7F464" w14:textId="77777777" w:rsidR="00A22D74" w:rsidRPr="006A63E9" w:rsidRDefault="00A22D74" w:rsidP="008849EF">
            <w:hyperlink r:id="rId9" w:history="1">
              <w:r w:rsidRPr="006A63E9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56577F90" w14:textId="77777777" w:rsidR="00A22D74" w:rsidRPr="006A63E9" w:rsidRDefault="00A775A0" w:rsidP="008849EF">
            <w:pPr>
              <w:spacing w:after="120"/>
            </w:pPr>
            <w:r w:rsidRPr="006A63E9">
              <w:t xml:space="preserve">Página WEB: </w:t>
            </w:r>
            <w:hyperlink r:id="rId10" w:history="1">
              <w:r w:rsidR="00A22D74" w:rsidRPr="009C0A4C">
                <w:rPr>
                  <w:rStyle w:val="Hipervnculo"/>
                </w:rPr>
                <w:t>www.industrias.gob.ec</w:t>
              </w:r>
            </w:hyperlink>
            <w:r>
              <w:t xml:space="preserve"> </w:t>
            </w:r>
          </w:p>
        </w:tc>
      </w:tr>
      <w:tr w:rsidR="00725A20" w14:paraId="1005CB3F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7FFC4" w14:textId="77777777" w:rsidR="00A52F73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BC51E" w14:textId="77777777" w:rsidR="00A52F73" w:rsidRPr="003A3E55" w:rsidRDefault="00A775A0" w:rsidP="003A3E55">
            <w:pPr>
              <w:spacing w:before="120" w:after="120"/>
            </w:pPr>
            <w:r w:rsidRPr="003A3E55">
              <w:rPr>
                <w:b/>
              </w:rPr>
              <w:t>Notificación hecha en virtud del artículo 2.9.2 [X], 2.10.1 [ ],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725A20" w14:paraId="0B8120F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2DDF8" w14:textId="77777777" w:rsidR="00A52F73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A5024" w14:textId="77777777" w:rsidR="00A52F73" w:rsidRPr="003A3E55" w:rsidRDefault="00A775A0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ICS):</w:t>
            </w:r>
            <w:r w:rsidR="00AF251E" w:rsidRPr="003A3E55">
              <w:t xml:space="preserve"> Bolígrafos (Código(s) del SA: 960810); Partes de bolígrafos, rotuladores y marcadores con punta de fieltro u otra punta porosa estiletes o punzones para clisés, portaplumas, portalápices y artículos simil., de materias no metálicas (Código(s) del SA: 960899)</w:t>
            </w:r>
          </w:p>
        </w:tc>
      </w:tr>
      <w:tr w:rsidR="00725A20" w14:paraId="3F5051E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B4E51" w14:textId="77777777" w:rsidR="00A52F73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87369" w14:textId="77777777" w:rsidR="00A52F73" w:rsidRPr="003A3E55" w:rsidRDefault="00A775A0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Primera Revisión del Reglamento Técnico Ecuatoriano PRTE INEN 275 (1R) " Bolígrafos y recambios".; (10 página(s), en español)</w:t>
            </w:r>
          </w:p>
        </w:tc>
      </w:tr>
      <w:tr w:rsidR="00725A20" w14:paraId="4FF104D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2945D" w14:textId="77777777" w:rsidR="00A52F73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262EA" w14:textId="77777777" w:rsidR="00A52F73" w:rsidRPr="003A3E55" w:rsidRDefault="00A775A0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éstos nacionales o importados que se comercialicen en el Ecuador:</w:t>
            </w:r>
          </w:p>
          <w:p w14:paraId="66F98E83" w14:textId="77777777" w:rsidR="00AF251E" w:rsidRPr="003A3E55" w:rsidRDefault="00A775A0" w:rsidP="003A3E55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Bolígrafos y recambios</w:t>
            </w:r>
          </w:p>
          <w:p w14:paraId="0EDD19D3" w14:textId="77777777" w:rsidR="00AF251E" w:rsidRPr="003A3E55" w:rsidRDefault="00A775A0" w:rsidP="003A3E55">
            <w:pPr>
              <w:spacing w:before="120" w:after="120"/>
            </w:pPr>
            <w:r w:rsidRPr="003A3E55">
              <w:t>Este reglamento técnico ecuatoriano no aplica a:</w:t>
            </w:r>
          </w:p>
          <w:p w14:paraId="53346C26" w14:textId="77777777" w:rsidR="00AF251E" w:rsidRPr="003A3E55" w:rsidRDefault="00A775A0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lastRenderedPageBreak/>
              <w:t>Portaminas y minas de grafito</w:t>
            </w:r>
          </w:p>
          <w:p w14:paraId="1D25C5FF" w14:textId="77777777" w:rsidR="00AF251E" w:rsidRPr="003A3E55" w:rsidRDefault="00A775A0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Los puntas y soportes utilizados para la fabricación de bolígrafos</w:t>
            </w:r>
          </w:p>
          <w:p w14:paraId="4D299975" w14:textId="77777777" w:rsidR="00AF251E" w:rsidRPr="003A3E55" w:rsidRDefault="00A775A0" w:rsidP="003A3E55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Las plumas estilográficas metálicas o plásticas</w:t>
            </w:r>
          </w:p>
        </w:tc>
      </w:tr>
      <w:tr w:rsidR="00725A20" w14:paraId="764F34E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3255C" w14:textId="77777777" w:rsidR="00A52F73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D2D49" w14:textId="77777777" w:rsidR="00A52F73" w:rsidRPr="003A3E55" w:rsidRDefault="00A775A0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Prevención de prácticas que puedan inducir a error y protección del consumidor; Protección de la salud o seguridad humanas</w:t>
            </w:r>
          </w:p>
        </w:tc>
      </w:tr>
      <w:tr w:rsidR="00725A20" w14:paraId="0492B81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CF3D5" w14:textId="77777777" w:rsidR="00A52F73" w:rsidRPr="003A3E55" w:rsidRDefault="00A775A0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30687" w14:textId="77777777" w:rsidR="008075C7" w:rsidRPr="00A06BA0" w:rsidRDefault="00A775A0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71EE1BD7" w14:textId="77777777" w:rsidR="00AF251E" w:rsidRPr="000E08E6" w:rsidRDefault="00A775A0" w:rsidP="00702623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r w:rsidRPr="000E08E6">
              <w:rPr>
                <w:lang w:val="en-GB"/>
              </w:rPr>
              <w:t xml:space="preserve">Norma ISO </w:t>
            </w:r>
            <w:r w:rsidRPr="000E08E6">
              <w:rPr>
                <w:lang w:val="en-GB"/>
              </w:rPr>
              <w:t>12757-1:2017 Ball point pens and refills — Part 1: General use.</w:t>
            </w:r>
          </w:p>
          <w:p w14:paraId="56AF0D27" w14:textId="77777777" w:rsidR="00AF251E" w:rsidRPr="003A3E55" w:rsidRDefault="00A775A0" w:rsidP="00702623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lote.</w:t>
            </w:r>
          </w:p>
          <w:p w14:paraId="1498695D" w14:textId="77777777" w:rsidR="00AF251E" w:rsidRPr="003A3E55" w:rsidRDefault="00A775A0" w:rsidP="00702623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17067:2013, Evaluación de la conformidad – Fundamentos de certificación de productos y directrices aplicables a los esquemas de certificación de productos.</w:t>
            </w:r>
          </w:p>
          <w:p w14:paraId="360EC03F" w14:textId="77777777" w:rsidR="00AF251E" w:rsidRPr="003A3E55" w:rsidRDefault="00A775A0" w:rsidP="00702623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6EF1F1D9" w14:textId="77777777" w:rsidR="00AF251E" w:rsidRPr="003A3E55" w:rsidRDefault="00A775A0" w:rsidP="00702623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ISO/IEC 17025:2017, Requisitos generales para la competencia de Laboratorios de ensayo y calibración.</w:t>
            </w:r>
          </w:p>
          <w:p w14:paraId="52D7FE2D" w14:textId="77777777" w:rsidR="00AF251E" w:rsidRPr="003A3E55" w:rsidRDefault="00A775A0" w:rsidP="00702623">
            <w:pPr>
              <w:numPr>
                <w:ilvl w:val="0"/>
                <w:numId w:val="18"/>
              </w:numPr>
              <w:spacing w:before="120" w:after="120"/>
            </w:pPr>
            <w:r w:rsidRPr="003A3E55">
              <w:t>Norma EN 71-3:2020, Seguridad de los juguetes. Parte 3: Migración de ciertos elementos.</w:t>
            </w:r>
          </w:p>
          <w:p w14:paraId="433EF75D" w14:textId="77777777" w:rsidR="00AF251E" w:rsidRPr="003A3E55" w:rsidRDefault="00A775A0" w:rsidP="00702623">
            <w:pPr>
              <w:spacing w:before="120" w:after="120"/>
            </w:pPr>
            <w:r w:rsidRPr="003A3E55">
              <w:rPr>
                <w:i/>
                <w:iCs/>
              </w:rPr>
              <w:t>Este documento reemplazará a las siguientes Notificaciones conexas</w:t>
            </w:r>
          </w:p>
          <w:p w14:paraId="61A47DA7" w14:textId="77777777" w:rsidR="00AF251E" w:rsidRPr="003A3E55" w:rsidRDefault="00A775A0" w:rsidP="00702623">
            <w:pPr>
              <w:spacing w:before="120" w:after="120"/>
            </w:pPr>
            <w:r w:rsidRPr="003A3E55">
              <w:t>Notificación a la que se hace referencia:</w:t>
            </w:r>
          </w:p>
          <w:p w14:paraId="7E756BD2" w14:textId="77777777" w:rsidR="00AF251E" w:rsidRPr="003A3E55" w:rsidRDefault="00AF251E" w:rsidP="00702623">
            <w:pPr>
              <w:numPr>
                <w:ilvl w:val="0"/>
                <w:numId w:val="19"/>
              </w:numPr>
              <w:spacing w:before="120" w:after="120"/>
            </w:pPr>
            <w:hyperlink r:id="rId11" w:history="1">
              <w:r w:rsidRPr="003A3E55">
                <w:rPr>
                  <w:color w:val="0000FF"/>
                  <w:u w:val="single"/>
                </w:rPr>
                <w:t>G/TBT/N/ECU/305</w:t>
              </w:r>
            </w:hyperlink>
          </w:p>
          <w:p w14:paraId="79B656AA" w14:textId="77777777" w:rsidR="00AF251E" w:rsidRPr="000E08E6" w:rsidRDefault="00AF251E" w:rsidP="00702623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12" w:history="1">
              <w:r w:rsidRPr="000E08E6">
                <w:rPr>
                  <w:color w:val="0000FF"/>
                  <w:u w:val="single"/>
                  <w:lang w:val="en-GB"/>
                </w:rPr>
                <w:t>G/TBT/N/ECU/305/Add.1</w:t>
              </w:r>
            </w:hyperlink>
          </w:p>
          <w:p w14:paraId="6327AFDE" w14:textId="77777777" w:rsidR="00AF251E" w:rsidRPr="000E08E6" w:rsidRDefault="00AF251E" w:rsidP="00702623">
            <w:pPr>
              <w:numPr>
                <w:ilvl w:val="0"/>
                <w:numId w:val="19"/>
              </w:numPr>
              <w:spacing w:before="120" w:after="120"/>
              <w:rPr>
                <w:lang w:val="en-GB"/>
              </w:rPr>
            </w:pPr>
            <w:hyperlink r:id="rId13" w:history="1">
              <w:r w:rsidRPr="000E08E6">
                <w:rPr>
                  <w:color w:val="0000FF"/>
                  <w:u w:val="single"/>
                  <w:lang w:val="en-GB"/>
                </w:rPr>
                <w:t>G/TBT/N/ECU/305/Add.2</w:t>
              </w:r>
            </w:hyperlink>
          </w:p>
        </w:tc>
      </w:tr>
      <w:tr w:rsidR="00725A20" w14:paraId="4EEA8938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CCEB4" w14:textId="77777777" w:rsidR="00AF251E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29765" w14:textId="77777777" w:rsidR="00AF251E" w:rsidRPr="003A3E55" w:rsidRDefault="00A775A0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del día siguiente de su publicación en el Registro Oficial.</w:t>
            </w:r>
          </w:p>
          <w:p w14:paraId="4FF6ECE2" w14:textId="77777777" w:rsidR="00AF251E" w:rsidRPr="003A3E55" w:rsidRDefault="00A775A0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del día siguiente de su publicación en el Registro Oficial.</w:t>
            </w:r>
          </w:p>
        </w:tc>
      </w:tr>
      <w:tr w:rsidR="00725A20" w14:paraId="0FA1C0E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F117F" w14:textId="77777777" w:rsidR="00A52F73" w:rsidRPr="003A3E55" w:rsidRDefault="00A775A0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EFB0B" w14:textId="77777777" w:rsidR="00A52F73" w:rsidRPr="003A3E55" w:rsidRDefault="00A775A0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725A20" w14:paraId="7E2FA00B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4B71DA3F" w14:textId="77777777" w:rsidR="00A52F73" w:rsidRPr="003A3E55" w:rsidRDefault="00A775A0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69CE808B" w14:textId="77777777" w:rsidR="00A52F73" w:rsidRPr="003A3E55" w:rsidRDefault="00A775A0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 ]</w:t>
            </w:r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322656A6" w14:textId="77777777" w:rsidR="00AF251E" w:rsidRPr="003A3E55" w:rsidRDefault="00A775A0" w:rsidP="00AD2FD7">
            <w:pPr>
              <w:keepNext/>
              <w:keepLines/>
            </w:pPr>
            <w:r w:rsidRPr="003A3E55">
              <w:t>Organismo:</w:t>
            </w:r>
          </w:p>
          <w:p w14:paraId="03D6E557" w14:textId="77777777" w:rsidR="00AF251E" w:rsidRPr="003A3E55" w:rsidRDefault="00A775A0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6628F592" w14:textId="77777777" w:rsidR="00AF251E" w:rsidRPr="003A3E55" w:rsidRDefault="00A775A0" w:rsidP="00AD2FD7">
            <w:pPr>
              <w:keepNext/>
              <w:keepLines/>
            </w:pPr>
            <w:r w:rsidRPr="003A3E55">
              <w:t>Subsecretaría de la Calidad</w:t>
            </w:r>
          </w:p>
          <w:p w14:paraId="4C61E05E" w14:textId="77777777" w:rsidR="00AF251E" w:rsidRPr="003A3E55" w:rsidRDefault="00A775A0" w:rsidP="00AD2FD7">
            <w:pPr>
              <w:keepNext/>
              <w:keepLines/>
            </w:pPr>
            <w:r w:rsidRPr="003A3E55">
              <w:t>Persona de contacto principal:</w:t>
            </w:r>
          </w:p>
          <w:p w14:paraId="61E9596D" w14:textId="77777777" w:rsidR="00AF251E" w:rsidRPr="003A3E55" w:rsidRDefault="00A775A0" w:rsidP="00AD2FD7">
            <w:pPr>
              <w:keepNext/>
              <w:keepLines/>
            </w:pPr>
            <w:r w:rsidRPr="003A3E55">
              <w:t>Cristian Yépez</w:t>
            </w:r>
          </w:p>
          <w:p w14:paraId="50189E49" w14:textId="77777777" w:rsidR="00AF251E" w:rsidRPr="003A3E55" w:rsidRDefault="00A775A0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5B7D41BE" w14:textId="77777777" w:rsidR="00AF251E" w:rsidRPr="003A3E55" w:rsidRDefault="00A775A0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6F4FED16" w14:textId="77777777" w:rsidR="00AF251E" w:rsidRPr="003A3E55" w:rsidRDefault="00A775A0" w:rsidP="00AD2FD7">
            <w:pPr>
              <w:keepNext/>
              <w:keepLines/>
            </w:pPr>
            <w:r w:rsidRPr="003A3E55">
              <w:t>Piso 8</w:t>
            </w:r>
          </w:p>
          <w:p w14:paraId="684767BD" w14:textId="77777777" w:rsidR="00AF251E" w:rsidRPr="003A3E55" w:rsidRDefault="00A775A0" w:rsidP="00AD2FD7">
            <w:pPr>
              <w:keepNext/>
              <w:keepLines/>
            </w:pPr>
            <w:r w:rsidRPr="003A3E55">
              <w:t>Bloque amarillo</w:t>
            </w:r>
          </w:p>
          <w:p w14:paraId="1663BC84" w14:textId="77777777" w:rsidR="00AF251E" w:rsidRPr="003A3E55" w:rsidRDefault="00A775A0" w:rsidP="00AD2FD7">
            <w:pPr>
              <w:keepNext/>
              <w:keepLines/>
            </w:pPr>
            <w:r w:rsidRPr="003A3E55">
              <w:t>Quito EC170522</w:t>
            </w:r>
          </w:p>
          <w:p w14:paraId="0B43DB4A" w14:textId="77777777" w:rsidR="00AF251E" w:rsidRPr="003A3E55" w:rsidRDefault="00A775A0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4540565D" w14:textId="77777777" w:rsidR="00AF251E" w:rsidRPr="003A3E55" w:rsidRDefault="00A775A0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4" w:history="1">
              <w:r w:rsidR="00AF251E"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5" w:history="1">
              <w:r w:rsidR="00AF251E"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6" w:history="1">
              <w:r w:rsidR="00AF251E"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503DF544" w14:textId="77777777" w:rsidR="00AF251E" w:rsidRPr="000E08E6" w:rsidRDefault="00A775A0" w:rsidP="00AD2FD7">
            <w:pPr>
              <w:keepNext/>
              <w:keepLines/>
              <w:rPr>
                <w:lang w:val="en-GB"/>
              </w:rPr>
            </w:pPr>
            <w:r w:rsidRPr="000E08E6">
              <w:rPr>
                <w:lang w:val="en-GB"/>
              </w:rPr>
              <w:t xml:space="preserve">Sitio web: </w:t>
            </w:r>
            <w:hyperlink r:id="rId17" w:tgtFrame="_blank" w:history="1">
              <w:r w:rsidR="00AF251E" w:rsidRPr="000E08E6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73F7167B" w14:textId="77777777" w:rsidR="00AF251E" w:rsidRPr="000E08E6" w:rsidRDefault="00AF251E" w:rsidP="00AD2FD7">
            <w:pPr>
              <w:keepNext/>
              <w:keepLines/>
              <w:rPr>
                <w:lang w:val="en-GB"/>
              </w:rPr>
            </w:pPr>
            <w:hyperlink r:id="rId18" w:history="1">
              <w:r w:rsidRPr="009C0A4C">
                <w:rPr>
                  <w:rStyle w:val="Hipervnculo"/>
                  <w:lang w:val="en-GB"/>
                </w:rPr>
                <w:t>www.normalizacion.gob.ec</w:t>
              </w:r>
            </w:hyperlink>
            <w:r w:rsidR="00A775A0">
              <w:rPr>
                <w:lang w:val="en-GB"/>
              </w:rPr>
              <w:t xml:space="preserve"> </w:t>
            </w:r>
          </w:p>
          <w:p w14:paraId="69265249" w14:textId="77777777" w:rsidR="00AF251E" w:rsidRPr="000E08E6" w:rsidRDefault="00AF251E" w:rsidP="00AD2FD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19" w:tgtFrame="_blank" w:history="1">
              <w:r w:rsidRPr="000E08E6">
                <w:rPr>
                  <w:color w:val="0000FF"/>
                  <w:u w:val="single"/>
                  <w:lang w:val="en-GB"/>
                </w:rPr>
                <w:t>https://members.wto.org/crnattachments/2025/TBT/ECU/25_02885_00_s.pdf</w:t>
              </w:r>
            </w:hyperlink>
          </w:p>
        </w:tc>
      </w:tr>
    </w:tbl>
    <w:p w14:paraId="041BCAEC" w14:textId="77777777" w:rsidR="00AF251E" w:rsidRPr="000E08E6" w:rsidRDefault="00AF251E" w:rsidP="003A3E55">
      <w:pPr>
        <w:rPr>
          <w:lang w:val="en-GB"/>
        </w:rPr>
      </w:pPr>
    </w:p>
    <w:sectPr w:rsidR="00AF251E" w:rsidRPr="000E08E6" w:rsidSect="00AE3C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A2D9" w14:textId="77777777" w:rsidR="00A775A0" w:rsidRDefault="00A775A0">
      <w:r>
        <w:separator/>
      </w:r>
    </w:p>
  </w:endnote>
  <w:endnote w:type="continuationSeparator" w:id="0">
    <w:p w14:paraId="0ABAC381" w14:textId="77777777" w:rsidR="00A775A0" w:rsidRDefault="00A7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50D0" w14:textId="77777777" w:rsidR="00B531D9" w:rsidRPr="003A3E55" w:rsidRDefault="00A775A0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E63A" w14:textId="77777777" w:rsidR="00DD65B2" w:rsidRPr="003A3E55" w:rsidRDefault="00A775A0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5627" w14:textId="77777777" w:rsidR="00DD65B2" w:rsidRPr="003A3E55" w:rsidRDefault="00A775A0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A0C6" w14:textId="77777777" w:rsidR="00A775A0" w:rsidRDefault="00A775A0">
      <w:r>
        <w:separator/>
      </w:r>
    </w:p>
  </w:footnote>
  <w:footnote w:type="continuationSeparator" w:id="0">
    <w:p w14:paraId="77CD43FC" w14:textId="77777777" w:rsidR="00A775A0" w:rsidRDefault="00A7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03656" w14:textId="77777777" w:rsidR="00B531D9" w:rsidRPr="003A3E55" w:rsidRDefault="00A775A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6BE13384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824A96" w14:textId="77777777" w:rsidR="00B531D9" w:rsidRPr="003A3E55" w:rsidRDefault="00A775A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567436A1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9E2C" w14:textId="77777777" w:rsidR="00B531D9" w:rsidRPr="003A3E55" w:rsidRDefault="00A775A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G/TBT/N/ECU/550</w:t>
    </w:r>
    <w:bookmarkEnd w:id="0"/>
  </w:p>
  <w:p w14:paraId="2224F413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B43A91" w14:textId="77777777" w:rsidR="00B531D9" w:rsidRPr="003A3E55" w:rsidRDefault="00A775A0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3</w:t>
    </w:r>
    <w:r w:rsidRPr="003A3E55">
      <w:fldChar w:fldCharType="end"/>
    </w:r>
    <w:r w:rsidRPr="003A3E55">
      <w:t xml:space="preserve"> -</w:t>
    </w:r>
  </w:p>
  <w:p w14:paraId="6337B952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725A20" w14:paraId="20B5763F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DF1834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B02CDA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725A20" w14:paraId="3205ABA7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6C861A90" w14:textId="77777777" w:rsidR="005D4F0E" w:rsidRPr="00674766" w:rsidRDefault="00A775A0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5478CE3D" wp14:editId="398CEBD4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6FB5F1AF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725A20" w14:paraId="41F795FA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1E9700DC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208AD93" w14:textId="77777777" w:rsidR="00B531D9" w:rsidRPr="003A3E55" w:rsidRDefault="00A775A0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G/TBT/N/ECU/550</w:t>
          </w:r>
          <w:bookmarkEnd w:id="2"/>
        </w:p>
      </w:tc>
    </w:tr>
    <w:tr w:rsidR="00725A20" w14:paraId="5656ACAC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52416CCA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2F75A79" w14:textId="77777777" w:rsidR="005D4F0E" w:rsidRPr="00674766" w:rsidRDefault="00A775A0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674766">
            <w:rPr>
              <w:szCs w:val="18"/>
            </w:rPr>
            <w:t>14 de abril de 2025</w:t>
          </w:r>
          <w:bookmarkEnd w:id="3"/>
          <w:bookmarkEnd w:id="4"/>
        </w:p>
      </w:tc>
    </w:tr>
    <w:tr w:rsidR="00725A20" w14:paraId="5B514D8B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62B1EB8" w14:textId="77777777" w:rsidR="005D4F0E" w:rsidRPr="00674766" w:rsidRDefault="00A775A0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color w:val="FF0000"/>
            </w:rPr>
            <w:t>(25-2621)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4F4669AF" w14:textId="77777777" w:rsidR="005D4F0E" w:rsidRPr="00674766" w:rsidRDefault="00A775A0" w:rsidP="005D4F0E">
          <w:pPr>
            <w:jc w:val="right"/>
            <w:rPr>
              <w:szCs w:val="18"/>
            </w:rPr>
          </w:pPr>
          <w:bookmarkStart w:id="6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3</w:t>
          </w:r>
          <w:r w:rsidRPr="003A3E55">
            <w:rPr>
              <w:szCs w:val="18"/>
            </w:rPr>
            <w:fldChar w:fldCharType="end"/>
          </w:r>
          <w:bookmarkEnd w:id="6"/>
        </w:p>
      </w:tc>
    </w:tr>
    <w:tr w:rsidR="00725A20" w14:paraId="2C447EDA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918A7B5" w14:textId="77777777" w:rsidR="005D4F0E" w:rsidRPr="00674766" w:rsidRDefault="00A775A0">
          <w:pPr>
            <w:jc w:val="left"/>
            <w:rPr>
              <w:szCs w:val="18"/>
            </w:rPr>
          </w:pPr>
          <w:bookmarkStart w:id="7" w:name="bmkCommittee"/>
          <w:r w:rsidRPr="003A3E5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1E6BF45" w14:textId="77777777" w:rsidR="005D4F0E" w:rsidRPr="003A3E55" w:rsidRDefault="00A775A0">
          <w:pPr>
            <w:jc w:val="right"/>
            <w:rPr>
              <w:bCs/>
              <w:szCs w:val="18"/>
            </w:rPr>
          </w:pPr>
          <w:bookmarkStart w:id="8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9" w:name="spsOriginalLanguage"/>
          <w:r w:rsidR="00AF251E" w:rsidRPr="003A3E55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14:paraId="5AC3414B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1851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740E00" w:tentative="1">
      <w:start w:val="1"/>
      <w:numFmt w:val="lowerLetter"/>
      <w:lvlText w:val="%2."/>
      <w:lvlJc w:val="left"/>
      <w:pPr>
        <w:ind w:left="1080" w:hanging="360"/>
      </w:pPr>
    </w:lvl>
    <w:lvl w:ilvl="2" w:tplc="7E6A3266" w:tentative="1">
      <w:start w:val="1"/>
      <w:numFmt w:val="lowerRoman"/>
      <w:lvlText w:val="%3."/>
      <w:lvlJc w:val="right"/>
      <w:pPr>
        <w:ind w:left="1800" w:hanging="180"/>
      </w:pPr>
    </w:lvl>
    <w:lvl w:ilvl="3" w:tplc="F1805FBC" w:tentative="1">
      <w:start w:val="1"/>
      <w:numFmt w:val="decimal"/>
      <w:lvlText w:val="%4."/>
      <w:lvlJc w:val="left"/>
      <w:pPr>
        <w:ind w:left="2520" w:hanging="360"/>
      </w:pPr>
    </w:lvl>
    <w:lvl w:ilvl="4" w:tplc="224AC4B2" w:tentative="1">
      <w:start w:val="1"/>
      <w:numFmt w:val="lowerLetter"/>
      <w:lvlText w:val="%5."/>
      <w:lvlJc w:val="left"/>
      <w:pPr>
        <w:ind w:left="3240" w:hanging="360"/>
      </w:pPr>
    </w:lvl>
    <w:lvl w:ilvl="5" w:tplc="8CAC088E" w:tentative="1">
      <w:start w:val="1"/>
      <w:numFmt w:val="lowerRoman"/>
      <w:lvlText w:val="%6."/>
      <w:lvlJc w:val="right"/>
      <w:pPr>
        <w:ind w:left="3960" w:hanging="180"/>
      </w:pPr>
    </w:lvl>
    <w:lvl w:ilvl="6" w:tplc="90D4B6FC" w:tentative="1">
      <w:start w:val="1"/>
      <w:numFmt w:val="decimal"/>
      <w:lvlText w:val="%7."/>
      <w:lvlJc w:val="left"/>
      <w:pPr>
        <w:ind w:left="4680" w:hanging="360"/>
      </w:pPr>
    </w:lvl>
    <w:lvl w:ilvl="7" w:tplc="506EF366" w:tentative="1">
      <w:start w:val="1"/>
      <w:numFmt w:val="lowerLetter"/>
      <w:lvlText w:val="%8."/>
      <w:lvlJc w:val="left"/>
      <w:pPr>
        <w:ind w:left="5400" w:hanging="360"/>
      </w:pPr>
    </w:lvl>
    <w:lvl w:ilvl="8" w:tplc="23ACEB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F187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32E2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D62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4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7206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B21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A2DE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364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385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C5C00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965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2481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9684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80EB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02C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065F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084F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1A4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3D526BD"/>
    <w:multiLevelType w:val="multilevel"/>
    <w:tmpl w:val="63D526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D526BE"/>
    <w:multiLevelType w:val="hybridMultilevel"/>
    <w:tmpl w:val="63D526BE"/>
    <w:lvl w:ilvl="0" w:tplc="87F42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866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B87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CD6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8A7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E4BF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D273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344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74A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70427324">
    <w:abstractNumId w:val="8"/>
  </w:num>
  <w:num w:numId="2" w16cid:durableId="1244803025">
    <w:abstractNumId w:val="3"/>
  </w:num>
  <w:num w:numId="3" w16cid:durableId="2001620384">
    <w:abstractNumId w:val="2"/>
  </w:num>
  <w:num w:numId="4" w16cid:durableId="580792861">
    <w:abstractNumId w:val="1"/>
  </w:num>
  <w:num w:numId="5" w16cid:durableId="1654483456">
    <w:abstractNumId w:val="0"/>
  </w:num>
  <w:num w:numId="6" w16cid:durableId="363870809">
    <w:abstractNumId w:val="12"/>
  </w:num>
  <w:num w:numId="7" w16cid:durableId="620109644">
    <w:abstractNumId w:val="10"/>
  </w:num>
  <w:num w:numId="8" w16cid:durableId="1526282850">
    <w:abstractNumId w:val="13"/>
  </w:num>
  <w:num w:numId="9" w16cid:durableId="1144660029">
    <w:abstractNumId w:val="9"/>
  </w:num>
  <w:num w:numId="10" w16cid:durableId="1974478449">
    <w:abstractNumId w:val="7"/>
  </w:num>
  <w:num w:numId="11" w16cid:durableId="1526484809">
    <w:abstractNumId w:val="6"/>
  </w:num>
  <w:num w:numId="12" w16cid:durableId="1951279179">
    <w:abstractNumId w:val="5"/>
  </w:num>
  <w:num w:numId="13" w16cid:durableId="1195920199">
    <w:abstractNumId w:val="4"/>
  </w:num>
  <w:num w:numId="14" w16cid:durableId="1466315347">
    <w:abstractNumId w:val="11"/>
  </w:num>
  <w:num w:numId="15" w16cid:durableId="206570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4027331">
    <w:abstractNumId w:val="14"/>
  </w:num>
  <w:num w:numId="17" w16cid:durableId="846673829">
    <w:abstractNumId w:val="15"/>
  </w:num>
  <w:num w:numId="18" w16cid:durableId="974985932">
    <w:abstractNumId w:val="16"/>
  </w:num>
  <w:num w:numId="19" w16cid:durableId="829944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4571F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0E08E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1156F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5A20"/>
    <w:rsid w:val="00727F5B"/>
    <w:rsid w:val="00735ADA"/>
    <w:rsid w:val="00740FC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0A4C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775A0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06349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28A1B"/>
  <w15:docId w15:val="{C6149BDF-D074-4851-A8D2-B5086CF4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0E0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gmail.com" TargetMode="External"/><Relationship Id="rId13" Type="http://schemas.openxmlformats.org/officeDocument/2006/relationships/hyperlink" Target="https://eping.wto.org/es/Search/Index?viewData=G/TBT/N/ECU/305/Add.2" TargetMode="External"/><Relationship Id="rId18" Type="http://schemas.openxmlformats.org/officeDocument/2006/relationships/hyperlink" Target="http://www.normalizacion.gob.e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puntocontactoOTCECU@produccion.gob.ec" TargetMode="External"/><Relationship Id="rId12" Type="http://schemas.openxmlformats.org/officeDocument/2006/relationships/hyperlink" Target="https://eping.wto.org/es/Search/Index?viewData=G/TBT/N/ECU/305/Add.1" TargetMode="External"/><Relationship Id="rId17" Type="http://schemas.openxmlformats.org/officeDocument/2006/relationships/hyperlink" Target="http://www.produccion.gob.ec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cyepez@produccion.gob.ec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ing.wto.org/es/Search/Index?viewData=G/TBT/N/ECU/305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untocontactoecu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ndustrias.gob.ec" TargetMode="External"/><Relationship Id="rId19" Type="http://schemas.openxmlformats.org/officeDocument/2006/relationships/hyperlink" Target="https://members.wto.org/crnattachments/2025/TBT/ECU/25_02885_00_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yepez@produccion.gob.ec" TargetMode="External"/><Relationship Id="rId14" Type="http://schemas.openxmlformats.org/officeDocument/2006/relationships/hyperlink" Target="mailto:puntocontacto-otcecu@produccion.gob.ec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2025-04-14T20:00:00Z</dcterms:created>
  <dcterms:modified xsi:type="dcterms:W3CDTF">2025-04-14T20:00:00Z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NC</vt:lpwstr>
  </property>
</Properties>
</file>