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C9" w:rsidRPr="00EF68C9" w:rsidRDefault="00F110A4" w:rsidP="00D31A79">
      <w:pPr>
        <w:pStyle w:val="Ttulo"/>
      </w:pPr>
      <w:r w:rsidRPr="00EF68C9">
        <w:t>NOTIFICACIÓN</w:t>
      </w:r>
    </w:p>
    <w:p w:rsidR="002F663C" w:rsidRPr="00EF68C9" w:rsidRDefault="00F110A4" w:rsidP="00D31A79">
      <w:pPr>
        <w:pStyle w:val="Title3"/>
      </w:pPr>
      <w:proofErr w:type="spellStart"/>
      <w:r w:rsidRPr="00EF68C9">
        <w:t>Addendum</w:t>
      </w:r>
      <w:bookmarkStart w:id="4" w:name="_GoBack"/>
      <w:bookmarkEnd w:id="4"/>
      <w:proofErr w:type="spellEnd"/>
    </w:p>
    <w:p w:rsidR="002F663C" w:rsidRDefault="00F110A4" w:rsidP="00B22706">
      <w:r w:rsidRPr="00EF68C9">
        <w:t xml:space="preserve">La siguiente comunicación, de fecha </w:t>
      </w:r>
      <w:bookmarkStart w:id="5" w:name="bmkCrnReceptionDate"/>
      <w:r w:rsidRPr="00EF68C9">
        <w:t>5 de enero de 2024</w:t>
      </w:r>
      <w:bookmarkEnd w:id="5"/>
      <w:r w:rsidRPr="00EF68C9">
        <w:t xml:space="preserve"> se distribuye a petición de la delegación </w:t>
      </w:r>
      <w:bookmarkStart w:id="6" w:name="bmkMemberName"/>
      <w:r w:rsidRPr="00EF68C9">
        <w:t xml:space="preserve">del </w:t>
      </w:r>
      <w:r w:rsidRPr="00EF68C9">
        <w:rPr>
          <w:u w:val="single"/>
        </w:rPr>
        <w:t>Estado Plurinacional de Bolivia</w:t>
      </w:r>
      <w:bookmarkEnd w:id="6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F110A4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F110A4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EF68C9" w:rsidRPr="00EF68C9">
        <w:t>Reglamento Técnico Aprobación de Modelo de Medidores de Agua Potable</w:t>
      </w:r>
      <w:bookmarkEnd w:id="7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D75460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F110A4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D75460" w:rsidTr="00D763A2">
        <w:tc>
          <w:tcPr>
            <w:tcW w:w="851" w:type="dxa"/>
            <w:shd w:val="clear" w:color="auto" w:fill="auto"/>
          </w:tcPr>
          <w:p w:rsidR="002F663C" w:rsidRPr="007B57C5" w:rsidRDefault="00F110A4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F110A4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D75460" w:rsidTr="00D763A2">
        <w:tc>
          <w:tcPr>
            <w:tcW w:w="851" w:type="dxa"/>
            <w:shd w:val="clear" w:color="auto" w:fill="auto"/>
          </w:tcPr>
          <w:p w:rsidR="002F663C" w:rsidRPr="007B57C5" w:rsidRDefault="00F110A4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F110A4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r w:rsidRPr="00EF68C9">
              <w:t>11 de diciembre de 2023</w:t>
            </w:r>
            <w:bookmarkEnd w:id="11"/>
          </w:p>
        </w:tc>
      </w:tr>
      <w:tr w:rsidR="00D75460" w:rsidTr="00D763A2">
        <w:tc>
          <w:tcPr>
            <w:tcW w:w="851" w:type="dxa"/>
            <w:shd w:val="clear" w:color="auto" w:fill="auto"/>
          </w:tcPr>
          <w:p w:rsidR="002F663C" w:rsidRPr="007B57C5" w:rsidRDefault="00F110A4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F110A4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r w:rsidRPr="00EF68C9">
              <w:t>3 de enero de 2024</w:t>
            </w:r>
            <w:bookmarkEnd w:id="13"/>
          </w:p>
        </w:tc>
      </w:tr>
      <w:tr w:rsidR="00D75460" w:rsidTr="00D763A2">
        <w:tc>
          <w:tcPr>
            <w:tcW w:w="851" w:type="dxa"/>
            <w:shd w:val="clear" w:color="auto" w:fill="auto"/>
          </w:tcPr>
          <w:p w:rsidR="002F663C" w:rsidRPr="007B57C5" w:rsidRDefault="00F110A4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F110A4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r w:rsidRPr="00EF68C9">
              <w:t>7 de agosto de 2024</w:t>
            </w:r>
            <w:bookmarkEnd w:id="15"/>
          </w:p>
        </w:tc>
      </w:tr>
      <w:tr w:rsidR="00D75460" w:rsidTr="00D763A2">
        <w:tc>
          <w:tcPr>
            <w:tcW w:w="851" w:type="dxa"/>
            <w:shd w:val="clear" w:color="auto" w:fill="auto"/>
          </w:tcPr>
          <w:p w:rsidR="002F663C" w:rsidRPr="007B57C5" w:rsidRDefault="00F110A4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F110A4" w:rsidP="00442BDE">
            <w:pPr>
              <w:spacing w:before="60" w:after="12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Refdenotaalpi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</w:p>
          <w:p w:rsidR="002F663C" w:rsidRPr="00EF68C9" w:rsidRDefault="00F110A4" w:rsidP="00442BDE">
            <w:pPr>
              <w:spacing w:before="120" w:after="120"/>
            </w:pPr>
            <w:hyperlink r:id="rId8" w:tgtFrame="_blank" w:history="1">
              <w:r w:rsidRPr="00EF68C9">
                <w:rPr>
                  <w:color w:val="0000FF"/>
                  <w:u w:val="single"/>
                </w:rPr>
                <w:t>https://members.wto.org/crnattachments/2024/TBT/BOL/final_measure/24_00139_00_s.pdf</w:t>
              </w:r>
            </w:hyperlink>
          </w:p>
          <w:p w:rsidR="002F663C" w:rsidRPr="00EF68C9" w:rsidRDefault="00F110A4" w:rsidP="00442BDE">
            <w:pPr>
              <w:spacing w:before="120" w:after="120"/>
            </w:pPr>
            <w:hyperlink r:id="rId9" w:tgtFrame="_blank" w:history="1">
              <w:r w:rsidRPr="00EF68C9">
                <w:rPr>
                  <w:color w:val="0000FF"/>
                  <w:u w:val="single"/>
                </w:rPr>
                <w:t>https://members.wto.org/crnattachments/2024/TBT/BOL/final_measure/24_00139_01_s.pdf</w:t>
              </w:r>
            </w:hyperlink>
          </w:p>
          <w:p w:rsidR="002F663C" w:rsidRPr="00EF68C9" w:rsidRDefault="00F110A4" w:rsidP="00442BDE">
            <w:pPr>
              <w:spacing w:before="120" w:after="120"/>
            </w:pPr>
            <w:hyperlink r:id="rId10" w:tgtFrame="_blank" w:history="1">
              <w:r w:rsidRPr="00EF68C9">
                <w:rPr>
                  <w:color w:val="0000FF"/>
                  <w:u w:val="single"/>
                </w:rPr>
                <w:t>https://me</w:t>
              </w:r>
              <w:r w:rsidRPr="00EF68C9">
                <w:rPr>
                  <w:color w:val="0000FF"/>
                  <w:u w:val="single"/>
                </w:rPr>
                <w:t>mbers.wto.org/crnattachments/2024/TBT/BOL/final_measure/24_00139_02_s.pdf</w:t>
              </w:r>
            </w:hyperlink>
            <w:bookmarkEnd w:id="18"/>
          </w:p>
        </w:tc>
      </w:tr>
      <w:tr w:rsidR="00D75460" w:rsidTr="00D763A2">
        <w:tc>
          <w:tcPr>
            <w:tcW w:w="851" w:type="dxa"/>
            <w:shd w:val="clear" w:color="auto" w:fill="auto"/>
          </w:tcPr>
          <w:p w:rsidR="002F663C" w:rsidRPr="007B57C5" w:rsidRDefault="00F110A4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F110A4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:rsidR="002F663C" w:rsidRPr="00EF68C9" w:rsidRDefault="00F110A4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D75460" w:rsidTr="00D763A2">
        <w:tc>
          <w:tcPr>
            <w:tcW w:w="851" w:type="dxa"/>
            <w:shd w:val="clear" w:color="auto" w:fill="auto"/>
          </w:tcPr>
          <w:p w:rsidR="002F663C" w:rsidRPr="007B57C5" w:rsidRDefault="00F110A4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F110A4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Modificación del contenido o del ámbito de </w:t>
            </w:r>
            <w:r w:rsidRPr="00EF68C9">
              <w:t>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3" w:name="bmkModificationOfContent"/>
            <w:bookmarkEnd w:id="23"/>
          </w:p>
          <w:p w:rsidR="002F663C" w:rsidRPr="00EF68C9" w:rsidRDefault="00F110A4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4" w:name="bmkNewCommentPeriod"/>
            <w:bookmarkEnd w:id="24"/>
          </w:p>
        </w:tc>
      </w:tr>
      <w:tr w:rsidR="00D75460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F110A4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F110A4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6" w:name="bmkInterpretativeGuidance"/>
            <w:bookmarkEnd w:id="26"/>
          </w:p>
        </w:tc>
      </w:tr>
      <w:tr w:rsidR="00D75460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F110A4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7" w:name="bmkRsnOther"/>
            <w:r w:rsidRPr="007B57C5">
              <w:rPr>
                <w:rFonts w:eastAsia="Calibri" w:cs="Times New Roman"/>
                <w:szCs w:val="18"/>
              </w:rPr>
              <w:t> </w:t>
            </w:r>
            <w:bookmarkEnd w:id="2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F110A4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8" w:name="bmkReasonOtherText"/>
            <w:bookmarkEnd w:id="28"/>
          </w:p>
        </w:tc>
      </w:tr>
    </w:tbl>
    <w:p w:rsidR="002F663C" w:rsidRPr="00EF68C9" w:rsidRDefault="002F663C" w:rsidP="00EF68C9"/>
    <w:p w:rsidR="003918E9" w:rsidRPr="00F95856" w:rsidRDefault="00F110A4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9" w:name="bmkNotifiedDocumentTitle"/>
      <w:r w:rsidR="00EF68C9" w:rsidRPr="00EF68C9">
        <w:t>El Estado Plurinacional de Bolivia informa que el Ministerio de Desarrollo Productivo y Economía Plural expidió la Resolución Ministerial MDPyEP/DESPACHO/N° 173.2023, por el cual pone en vigencia el Reglamento Técnico "Aprobación de Modelo de Medidores de Agua Potable", que establece los requisitos para la Aprobación de Mode</w:t>
      </w:r>
      <w:r w:rsidR="00064677">
        <w:t>lo de Medidores de Agua Potable</w:t>
      </w:r>
      <w:r w:rsidR="00EF68C9" w:rsidRPr="00EF68C9">
        <w:t xml:space="preserve">; con la finalidad </w:t>
      </w:r>
      <w:r w:rsidR="00EF68C9" w:rsidRPr="00EF68C9">
        <w:lastRenderedPageBreak/>
        <w:t>de prevenir prácticas que puedan inducir al error. Así mismo se publica el D.S. 5070 de 29 de noviembre de 2023, que complementa la vigencia del mencionado Reglamento Técnico.</w:t>
      </w:r>
      <w:bookmarkEnd w:id="29"/>
    </w:p>
    <w:p w:rsidR="00D60927" w:rsidRPr="00B22706" w:rsidRDefault="00F110A4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A4" w:rsidRDefault="00F110A4">
      <w:r>
        <w:separator/>
      </w:r>
    </w:p>
  </w:endnote>
  <w:endnote w:type="continuationSeparator" w:id="0">
    <w:p w:rsidR="00F110A4" w:rsidRDefault="00F1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26" w:rsidRPr="00EF68C9" w:rsidRDefault="00F110A4" w:rsidP="00EF68C9">
    <w:pPr>
      <w:pStyle w:val="Piedepgina"/>
    </w:pPr>
    <w:bookmarkStart w:id="35" w:name="_Hlk23403603"/>
    <w:bookmarkStart w:id="36" w:name="_Hlk23403604"/>
    <w:r w:rsidRPr="00EF68C9">
      <w:t xml:space="preserve"> </w:t>
    </w:r>
    <w:bookmarkEnd w:id="35"/>
    <w:bookmarkEnd w:id="36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26" w:rsidRPr="00EF68C9" w:rsidRDefault="00F110A4" w:rsidP="00EF68C9">
    <w:pPr>
      <w:pStyle w:val="Piedepgina"/>
    </w:pPr>
    <w:bookmarkStart w:id="37" w:name="_Hlk23403605"/>
    <w:bookmarkStart w:id="38" w:name="_Hlk23403606"/>
    <w:r w:rsidRPr="00EF68C9">
      <w:t xml:space="preserve"> </w:t>
    </w:r>
    <w:bookmarkEnd w:id="37"/>
    <w:bookmarkEnd w:id="38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C9" w:rsidRPr="00EF68C9" w:rsidRDefault="00F110A4" w:rsidP="00EF68C9">
    <w:pPr>
      <w:pStyle w:val="Piedepgina"/>
    </w:pPr>
    <w:bookmarkStart w:id="45" w:name="_Hlk23403609"/>
    <w:bookmarkStart w:id="46" w:name="_Hlk23403610"/>
    <w:r w:rsidRPr="00EF68C9">
      <w:t xml:space="preserve"> </w:t>
    </w:r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A4" w:rsidRPr="00EF68C9" w:rsidRDefault="00F110A4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:rsidR="00F110A4" w:rsidRPr="00EF68C9" w:rsidRDefault="00F110A4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:rsidR="00F95856" w:rsidRPr="00F95856" w:rsidRDefault="00F110A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C9" w:rsidRPr="00EF68C9" w:rsidRDefault="00F110A4" w:rsidP="00EF68C9">
    <w:pPr>
      <w:pStyle w:val="Encabezado"/>
      <w:spacing w:after="240"/>
      <w:jc w:val="center"/>
    </w:pPr>
    <w:bookmarkStart w:id="30" w:name="_Hlk23403599"/>
    <w:bookmarkStart w:id="31" w:name="_Hlk23403600"/>
    <w:r w:rsidRPr="00EF68C9">
      <w:t>JOB/</w:t>
    </w:r>
    <w:r w:rsidRPr="00EF68C9">
      <w:t>TBT/344</w:t>
    </w:r>
  </w:p>
  <w:p w:rsidR="00EF68C9" w:rsidRPr="00EF68C9" w:rsidRDefault="00F110A4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08" w:rsidRPr="00064677" w:rsidRDefault="00F110A4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32" w:name="spsSymbolHeader"/>
    <w:bookmarkStart w:id="33" w:name="_Hlk23403601"/>
    <w:bookmarkStart w:id="34" w:name="_Hlk23403602"/>
    <w:r w:rsidRPr="00064677">
      <w:rPr>
        <w:lang w:val="en-US"/>
      </w:rPr>
      <w:t>G/TBT/N/BOL/15/Rev.1/Add.1</w:t>
    </w:r>
    <w:bookmarkEnd w:id="32"/>
  </w:p>
  <w:p w:rsidR="00470C19" w:rsidRPr="00064677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EF68C9" w:rsidRPr="00EF68C9" w:rsidRDefault="00F110A4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="00064677">
      <w:rPr>
        <w:noProof/>
      </w:rPr>
      <w:t>2</w:t>
    </w:r>
    <w:r w:rsidRPr="00EF68C9">
      <w:fldChar w:fldCharType="end"/>
    </w:r>
    <w:r w:rsidRPr="00EF68C9">
      <w:t xml:space="preserve"> -</w:t>
    </w:r>
    <w:bookmarkEnd w:id="33"/>
    <w:bookmarkEnd w:id="34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75460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9" w:name="_Hlk23403607"/>
          <w:bookmarkStart w:id="40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75460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F110A4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00196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75460" w:rsidRPr="000646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064677" w:rsidRDefault="00F110A4" w:rsidP="00D763A2">
          <w:pPr>
            <w:jc w:val="right"/>
            <w:rPr>
              <w:rFonts w:eastAsia="Calibri" w:cs="Times New Roman"/>
              <w:b/>
              <w:szCs w:val="16"/>
              <w:lang w:val="en-US"/>
            </w:rPr>
          </w:pPr>
          <w:bookmarkStart w:id="41" w:name="bmkSymbols"/>
          <w:r w:rsidRPr="00064677">
            <w:rPr>
              <w:rFonts w:eastAsia="Calibri" w:cs="Times New Roman"/>
              <w:b/>
              <w:szCs w:val="16"/>
              <w:lang w:val="en-US"/>
            </w:rPr>
            <w:t>G/TBT/N/BOL/15/Rev.1/Add.1</w:t>
          </w:r>
          <w:bookmarkEnd w:id="41"/>
        </w:p>
      </w:tc>
    </w:tr>
    <w:tr w:rsidR="00D75460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F110A4" w:rsidP="00EF68C9">
          <w:pPr>
            <w:jc w:val="right"/>
            <w:rPr>
              <w:rFonts w:eastAsia="Verdana" w:cs="Verdana"/>
              <w:szCs w:val="18"/>
            </w:rPr>
          </w:pPr>
          <w:bookmarkStart w:id="42" w:name="bmkDate"/>
          <w:r w:rsidRPr="00EF68C9">
            <w:rPr>
              <w:rFonts w:eastAsia="Verdana" w:cs="Verdana"/>
              <w:szCs w:val="18"/>
            </w:rPr>
            <w:t>5 de enero de 2024</w:t>
          </w:r>
          <w:bookmarkEnd w:id="42"/>
        </w:p>
      </w:tc>
    </w:tr>
    <w:tr w:rsidR="00D75460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F110A4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3" w:name="bmkSerial"/>
          <w:r w:rsidRPr="002F663C">
            <w:rPr>
              <w:rFonts w:eastAsia="Calibri" w:cs="Times New Roman"/>
              <w:color w:val="FF0000"/>
              <w:szCs w:val="16"/>
            </w:rPr>
            <w:t>24-0126</w:t>
          </w:r>
          <w:bookmarkEnd w:id="43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F110A4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064677">
            <w:rPr>
              <w:rFonts w:eastAsia="Verdana" w:cs="Verdana"/>
              <w:noProof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064677">
            <w:rPr>
              <w:rFonts w:eastAsia="Verdana" w:cs="Verdana"/>
              <w:noProof/>
              <w:szCs w:val="18"/>
            </w:rPr>
            <w:t>2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D75460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F110A4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F110A4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4" w:name="bmkOriginalLanguage"/>
          <w:r w:rsidRPr="00EF68C9">
            <w:t>español</w:t>
          </w:r>
          <w:bookmarkEnd w:id="44"/>
        </w:p>
      </w:tc>
    </w:tr>
    <w:bookmarkEnd w:id="39"/>
    <w:bookmarkEnd w:id="40"/>
  </w:tbl>
  <w:p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7107B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EAF97C" w:tentative="1">
      <w:start w:val="1"/>
      <w:numFmt w:val="lowerLetter"/>
      <w:lvlText w:val="%2."/>
      <w:lvlJc w:val="left"/>
      <w:pPr>
        <w:ind w:left="1080" w:hanging="360"/>
      </w:pPr>
    </w:lvl>
    <w:lvl w:ilvl="2" w:tplc="8DA4363C" w:tentative="1">
      <w:start w:val="1"/>
      <w:numFmt w:val="lowerRoman"/>
      <w:lvlText w:val="%3."/>
      <w:lvlJc w:val="right"/>
      <w:pPr>
        <w:ind w:left="1800" w:hanging="180"/>
      </w:pPr>
    </w:lvl>
    <w:lvl w:ilvl="3" w:tplc="E95ADD70" w:tentative="1">
      <w:start w:val="1"/>
      <w:numFmt w:val="decimal"/>
      <w:lvlText w:val="%4."/>
      <w:lvlJc w:val="left"/>
      <w:pPr>
        <w:ind w:left="2520" w:hanging="360"/>
      </w:pPr>
    </w:lvl>
    <w:lvl w:ilvl="4" w:tplc="AB067532" w:tentative="1">
      <w:start w:val="1"/>
      <w:numFmt w:val="lowerLetter"/>
      <w:lvlText w:val="%5."/>
      <w:lvlJc w:val="left"/>
      <w:pPr>
        <w:ind w:left="3240" w:hanging="360"/>
      </w:pPr>
    </w:lvl>
    <w:lvl w:ilvl="5" w:tplc="59269CFA" w:tentative="1">
      <w:start w:val="1"/>
      <w:numFmt w:val="lowerRoman"/>
      <w:lvlText w:val="%6."/>
      <w:lvlJc w:val="right"/>
      <w:pPr>
        <w:ind w:left="3960" w:hanging="180"/>
      </w:pPr>
    </w:lvl>
    <w:lvl w:ilvl="6" w:tplc="989CFE00" w:tentative="1">
      <w:start w:val="1"/>
      <w:numFmt w:val="decimal"/>
      <w:lvlText w:val="%7."/>
      <w:lvlJc w:val="left"/>
      <w:pPr>
        <w:ind w:left="4680" w:hanging="360"/>
      </w:pPr>
    </w:lvl>
    <w:lvl w:ilvl="7" w:tplc="0AEA101E" w:tentative="1">
      <w:start w:val="1"/>
      <w:numFmt w:val="lowerLetter"/>
      <w:lvlText w:val="%8."/>
      <w:lvlJc w:val="left"/>
      <w:pPr>
        <w:ind w:left="5400" w:hanging="360"/>
      </w:pPr>
    </w:lvl>
    <w:lvl w:ilvl="8" w:tplc="CB4256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3C"/>
    <w:rsid w:val="00010D6C"/>
    <w:rsid w:val="000272F6"/>
    <w:rsid w:val="00037AC4"/>
    <w:rsid w:val="000423BF"/>
    <w:rsid w:val="00043D6D"/>
    <w:rsid w:val="00043ECC"/>
    <w:rsid w:val="00064677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5460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110A4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C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de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TBT/BOL/final_measure/24_00139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4/TBT/BOL/final_measure/24_00139_02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4/TBT/BOL/final_measure/24_00139_01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nag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68DF-88AA-4651-964D-6D285119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2024-01-05T12:17:00Z</dcterms:created>
  <dcterms:modified xsi:type="dcterms:W3CDTF">2024-01-05T12:17:00Z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NC</vt:lpwstr>
  </property>
</Properties>
</file>