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2C2CE8" w:rsidP="00D31A79">
      <w:pPr>
        <w:pStyle w:val="Ttulo"/>
      </w:pPr>
      <w:r w:rsidRPr="00EF68C9">
        <w:t>NOTIFICACIÓN</w:t>
      </w:r>
    </w:p>
    <w:p w:rsidR="002F663C" w:rsidRPr="00EF68C9" w:rsidRDefault="002C2CE8" w:rsidP="00D31A79">
      <w:pPr>
        <w:pStyle w:val="Title3"/>
      </w:pPr>
      <w:r w:rsidRPr="00EF68C9">
        <w:t>Addendum</w:t>
      </w:r>
    </w:p>
    <w:p w:rsidR="002F663C" w:rsidRDefault="002C2CE8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18 de febrero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2C2CE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2C2CE8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sustitutiva que establece los lineamientos para el control de la trazabilidad de medicamentos, productos biológicos y dispositivos médicos.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152950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2C2CE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C2CE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C2CE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C2CE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C2CE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22 de diciembre de 2020</w:t>
            </w:r>
            <w:bookmarkEnd w:id="14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C2CE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2C2CE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2C2CE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152950" w:rsidTr="00D763A2">
        <w:tc>
          <w:tcPr>
            <w:tcW w:w="851" w:type="dxa"/>
            <w:shd w:val="clear" w:color="auto" w:fill="auto"/>
          </w:tcPr>
          <w:p w:rsidR="002F663C" w:rsidRPr="007B57C5" w:rsidRDefault="002C2CE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2C2CE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2C2CE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152950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2C2CE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2C2CE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152950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2C2CE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D72E46" w:rsidRDefault="002C2CE8" w:rsidP="00444BD5">
            <w:pPr>
              <w:spacing w:before="60" w:after="60"/>
            </w:pPr>
            <w:r w:rsidRPr="00EF68C9">
              <w:t>Otro motivo:</w:t>
            </w:r>
          </w:p>
          <w:bookmarkStart w:id="27" w:name="bmkReasonOtherText"/>
          <w:p w:rsidR="00C838A8" w:rsidRDefault="00EB7715" w:rsidP="00444BD5">
            <w:pPr>
              <w:spacing w:before="60" w:after="60"/>
              <w:rPr>
                <w:rFonts w:eastAsia="Calibri" w:cs="Times New Roman"/>
              </w:rPr>
            </w:pPr>
            <w:r w:rsidRPr="00EB7715">
              <w:fldChar w:fldCharType="begin"/>
            </w:r>
            <w:r w:rsidR="002C2CE8">
              <w:instrText xml:space="preserve"> HYPERLINK "https://members.wto.org/crnattachments/2021/TBT/ECU/21_1226_00_s.pdf" </w:instrText>
            </w:r>
            <w:r w:rsidRPr="00EB7715">
              <w:fldChar w:fldCharType="separate"/>
            </w:r>
            <w:r w:rsidR="002C2CE8">
              <w:rPr>
                <w:rFonts w:eastAsia="Calibri" w:cs="Times New Roman"/>
                <w:color w:val="0000FF"/>
                <w:u w:val="single"/>
              </w:rPr>
              <w:t>https://members.wto.org/crnattachments/2021/TBT/ECU/21_1226_00_s.pdf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7"/>
          </w:p>
        </w:tc>
      </w:tr>
    </w:tbl>
    <w:p w:rsidR="002F663C" w:rsidRPr="00EF68C9" w:rsidRDefault="002F663C" w:rsidP="00EF68C9"/>
    <w:p w:rsidR="003918E9" w:rsidRPr="00F95856" w:rsidRDefault="002C2CE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LISTADO DE MEDICAMENTOS, PRODUCTOS BIOLÓGICOS Y DISPOSITIVOS MÉDICOS SUJETOS A CONTROL DE LA TRAZABILIDAD, ESTABLECIDO POR EL MINISTERIO DE SALUD PÚBLICA</w:t>
      </w:r>
    </w:p>
    <w:p w:rsidR="00EF68C9" w:rsidRPr="00EF68C9" w:rsidRDefault="002C2CE8" w:rsidP="00B03883">
      <w:pPr>
        <w:spacing w:after="120"/>
      </w:pPr>
      <w:r w:rsidRPr="00EF68C9">
        <w:t>La República de Ecuador comunica y da a conocer el Addendum 1 correspondiente a lo dispuesto en la DISPOSICIÓN TRANSITORIA PRIMERA de la Resolución ARCSA-DE-030-2020-MAFG, publicado en el Registro Oficial Segundo Suplemento Nro. 338 de fecha 26 de noviembre de 2020, se procede a la publicación del listado que la Autoridad Sanitaria Nacional estableció para el efecto; según el Oficio Nro. MSP-SNPSI-2020-0262-O, suscrito por el Subsecretario Nacional de Promoción de la Salud e Igualdad del Ministerio de Salud Pública.</w:t>
      </w:r>
    </w:p>
    <w:p w:rsidR="00EF68C9" w:rsidRPr="00EF68C9" w:rsidRDefault="002C2CE8" w:rsidP="00B03883">
      <w:pPr>
        <w:spacing w:after="120"/>
      </w:pPr>
      <w:r w:rsidRPr="00EF68C9">
        <w:t xml:space="preserve">El Listado de medicamentos, productos biológicos y dispositivos médicos sujetos a control de la trazabilidad, establecido por el Ministerio de Salud Pública ha sido expedida mediante la Resolución </w:t>
      </w:r>
      <w:r w:rsidRPr="00EF68C9">
        <w:lastRenderedPageBreak/>
        <w:t>Nro. ARCSA-DE-033-2020-MAFG del 01 de diciembre de 2020 y publicada en el Suplemento – Registro Oficial Nº 355 de 22 de diciembre de 2020, emitida por la Agencia Nacional de Regulación, Control y Vigilancia Sanitaria ARCSA. La presente Resolución entrará en vigencia a partir de su publicación en el Registro Oficial.</w:t>
      </w:r>
    </w:p>
    <w:p w:rsidR="00EF68C9" w:rsidRPr="00EF68C9" w:rsidRDefault="002C2CE8" w:rsidP="00B03883">
      <w:pPr>
        <w:spacing w:after="120"/>
      </w:pPr>
      <w:r w:rsidRPr="00EF68C9">
        <w:t>El Organismo competente de la presente normativa es la Agencia Nacional de Regulación, Control y Vigilancia Sanitaria - ARCSA.</w:t>
      </w:r>
    </w:p>
    <w:p w:rsidR="00EF68C9" w:rsidRPr="00EF68C9" w:rsidRDefault="002C2CE8" w:rsidP="00B03883">
      <w:pPr>
        <w:spacing w:after="120"/>
      </w:pPr>
      <w:r w:rsidRPr="00EF68C9">
        <w:t>Ministerio de Producción, Comercio Exterior, Inversiones y Pesca, Subsecretaría de Calidad, Organismo Nacional de Notificación:</w:t>
      </w:r>
    </w:p>
    <w:p w:rsidR="00EF68C9" w:rsidRPr="00EF68C9" w:rsidRDefault="002C2CE8" w:rsidP="00B03883">
      <w:pPr>
        <w:spacing w:after="120"/>
        <w:jc w:val="left"/>
      </w:pPr>
      <w:r w:rsidRPr="00EF68C9">
        <w:t>Punto de Contacto OTC: Jeannette Mariño</w:t>
      </w:r>
      <w:r w:rsidRPr="00EF68C9">
        <w:br/>
        <w:t>Plataforma Gubernamental de Gestión Financiera - Piso 8 Bloque amarillo Av. Amazonas entre Unión Nacional de Periodistas y Alfonso Pereira</w:t>
      </w:r>
      <w:r w:rsidRPr="00EF68C9">
        <w:br/>
        <w:t>Quito - Ecuador </w:t>
      </w:r>
      <w:r w:rsidRPr="00EF68C9">
        <w:br/>
        <w:t>Tel:</w:t>
      </w:r>
      <w:r w:rsidR="00D72E46">
        <w:t xml:space="preserve"> </w:t>
      </w:r>
      <w:r w:rsidRPr="00EF68C9">
        <w:t>(+593-2) 3948760, Ext. 2252 / 2254</w:t>
      </w:r>
      <w:r w:rsidRPr="00EF68C9">
        <w:br/>
        <w:t>E-mail:</w:t>
      </w:r>
      <w:r w:rsidRPr="00EF68C9">
        <w:br/>
      </w:r>
      <w:hyperlink r:id="rId8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2C2CE8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D7" w:rsidRDefault="00817AD7">
      <w:r>
        <w:separator/>
      </w:r>
    </w:p>
  </w:endnote>
  <w:endnote w:type="continuationSeparator" w:id="1">
    <w:p w:rsidR="00817AD7" w:rsidRDefault="008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2C2CE8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2C2CE8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2C2CE8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D7" w:rsidRPr="00EF68C9" w:rsidRDefault="00817AD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817AD7" w:rsidRPr="00EF68C9" w:rsidRDefault="00817AD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2C2CE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2C2CE8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2C2CE8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EB7715" w:rsidRPr="00EF68C9">
      <w:fldChar w:fldCharType="begin"/>
    </w:r>
    <w:r w:rsidRPr="00EF68C9">
      <w:instrText xml:space="preserve"> PAGE  \* Arabic  \* MERGEFORMAT </w:instrText>
    </w:r>
    <w:r w:rsidR="00EB7715" w:rsidRPr="00EF68C9">
      <w:fldChar w:fldCharType="separate"/>
    </w:r>
    <w:r w:rsidRPr="00EF68C9">
      <w:t>1</w:t>
    </w:r>
    <w:r w:rsidR="00EB7715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2C2CE8" w:rsidRDefault="002C2CE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2C2CE8">
      <w:rPr>
        <w:lang w:val="en-GB"/>
      </w:rPr>
      <w:t>G/TBT/N/ECU/498/Add.1</w:t>
    </w:r>
    <w:bookmarkEnd w:id="30"/>
  </w:p>
  <w:p w:rsidR="00470C19" w:rsidRPr="002C2CE8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EF68C9" w:rsidRPr="00EF68C9" w:rsidRDefault="002C2CE8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EB7715" w:rsidRPr="00EF68C9">
      <w:fldChar w:fldCharType="begin"/>
    </w:r>
    <w:r w:rsidRPr="00EF68C9">
      <w:instrText xml:space="preserve"> PAGE  \* Arabic  \* MERGEFORMAT </w:instrText>
    </w:r>
    <w:r w:rsidR="00EB7715" w:rsidRPr="00EF68C9">
      <w:fldChar w:fldCharType="separate"/>
    </w:r>
    <w:r w:rsidR="002E2E02">
      <w:rPr>
        <w:noProof/>
      </w:rPr>
      <w:t>2</w:t>
    </w:r>
    <w:r w:rsidR="00EB7715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152950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2950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2C2CE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268063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2950" w:rsidRPr="002E2E02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C2CE8" w:rsidRDefault="002C2CE8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2C2CE8">
            <w:rPr>
              <w:rFonts w:eastAsia="Calibri" w:cs="Times New Roman"/>
              <w:b/>
              <w:szCs w:val="16"/>
              <w:lang w:val="en-GB"/>
            </w:rPr>
            <w:t>G/TBT/N/ECU/498/Add.1</w:t>
          </w:r>
          <w:bookmarkEnd w:id="39"/>
        </w:p>
      </w:tc>
    </w:tr>
    <w:tr w:rsidR="00152950" w:rsidRPr="002C2CE8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2C2CE8" w:rsidRDefault="002C2CE8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18 </w:t>
          </w:r>
          <w:r w:rsidR="00361401">
            <w:rPr>
              <w:rFonts w:eastAsia="Verdana" w:cs="Verdana"/>
              <w:szCs w:val="18"/>
              <w:lang w:val="en-GB"/>
            </w:rPr>
            <w:t>de febrero de</w:t>
          </w:r>
          <w:r>
            <w:rPr>
              <w:rFonts w:eastAsia="Verdana" w:cs="Verdana"/>
              <w:szCs w:val="18"/>
              <w:lang w:val="en-GB"/>
            </w:rPr>
            <w:t xml:space="preserve"> 2021</w:t>
          </w:r>
        </w:p>
      </w:tc>
    </w:tr>
    <w:tr w:rsidR="00152950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2C2CE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037D5A">
            <w:rPr>
              <w:rFonts w:eastAsia="Calibri" w:cs="Times New Roman"/>
              <w:color w:val="FF0000"/>
              <w:szCs w:val="16"/>
            </w:rPr>
            <w:t>1390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2C2CE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EB7715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EB7715" w:rsidRPr="00EF68C9">
            <w:rPr>
              <w:rFonts w:eastAsia="Verdana" w:cs="Verdana"/>
              <w:szCs w:val="18"/>
            </w:rPr>
            <w:fldChar w:fldCharType="separate"/>
          </w:r>
          <w:r w:rsidR="002E2E02">
            <w:rPr>
              <w:rFonts w:eastAsia="Verdana" w:cs="Verdana"/>
              <w:noProof/>
              <w:szCs w:val="18"/>
            </w:rPr>
            <w:t>1</w:t>
          </w:r>
          <w:r w:rsidR="00EB7715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EB7715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EB7715" w:rsidRPr="00EF68C9">
            <w:rPr>
              <w:rFonts w:eastAsia="Verdana" w:cs="Verdana"/>
              <w:szCs w:val="18"/>
            </w:rPr>
            <w:fldChar w:fldCharType="separate"/>
          </w:r>
          <w:r w:rsidR="002E2E02">
            <w:rPr>
              <w:rFonts w:eastAsia="Verdana" w:cs="Verdana"/>
              <w:noProof/>
              <w:szCs w:val="18"/>
            </w:rPr>
            <w:t>1</w:t>
          </w:r>
          <w:r w:rsidR="00EB7715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152950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2C2CE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2C2CE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88892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245898" w:tentative="1">
      <w:start w:val="1"/>
      <w:numFmt w:val="lowerLetter"/>
      <w:lvlText w:val="%2."/>
      <w:lvlJc w:val="left"/>
      <w:pPr>
        <w:ind w:left="1080" w:hanging="360"/>
      </w:pPr>
    </w:lvl>
    <w:lvl w:ilvl="2" w:tplc="185CE564" w:tentative="1">
      <w:start w:val="1"/>
      <w:numFmt w:val="lowerRoman"/>
      <w:lvlText w:val="%3."/>
      <w:lvlJc w:val="right"/>
      <w:pPr>
        <w:ind w:left="1800" w:hanging="180"/>
      </w:pPr>
    </w:lvl>
    <w:lvl w:ilvl="3" w:tplc="F2A6790A" w:tentative="1">
      <w:start w:val="1"/>
      <w:numFmt w:val="decimal"/>
      <w:lvlText w:val="%4."/>
      <w:lvlJc w:val="left"/>
      <w:pPr>
        <w:ind w:left="2520" w:hanging="360"/>
      </w:pPr>
    </w:lvl>
    <w:lvl w:ilvl="4" w:tplc="FD7899E8" w:tentative="1">
      <w:start w:val="1"/>
      <w:numFmt w:val="lowerLetter"/>
      <w:lvlText w:val="%5."/>
      <w:lvlJc w:val="left"/>
      <w:pPr>
        <w:ind w:left="3240" w:hanging="360"/>
      </w:pPr>
    </w:lvl>
    <w:lvl w:ilvl="5" w:tplc="D9148CB0" w:tentative="1">
      <w:start w:val="1"/>
      <w:numFmt w:val="lowerRoman"/>
      <w:lvlText w:val="%6."/>
      <w:lvlJc w:val="right"/>
      <w:pPr>
        <w:ind w:left="3960" w:hanging="180"/>
      </w:pPr>
    </w:lvl>
    <w:lvl w:ilvl="6" w:tplc="DAEE898A" w:tentative="1">
      <w:start w:val="1"/>
      <w:numFmt w:val="decimal"/>
      <w:lvlText w:val="%7."/>
      <w:lvlJc w:val="left"/>
      <w:pPr>
        <w:ind w:left="4680" w:hanging="360"/>
      </w:pPr>
    </w:lvl>
    <w:lvl w:ilvl="7" w:tplc="0714E27A" w:tentative="1">
      <w:start w:val="1"/>
      <w:numFmt w:val="lowerLetter"/>
      <w:lvlText w:val="%8."/>
      <w:lvlJc w:val="left"/>
      <w:pPr>
        <w:ind w:left="5400" w:hanging="360"/>
      </w:pPr>
    </w:lvl>
    <w:lvl w:ilvl="8" w:tplc="F3B04F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72F6"/>
    <w:rsid w:val="00036295"/>
    <w:rsid w:val="00037AC4"/>
    <w:rsid w:val="00037D5A"/>
    <w:rsid w:val="000423BF"/>
    <w:rsid w:val="00043D6D"/>
    <w:rsid w:val="00043ECC"/>
    <w:rsid w:val="000844B6"/>
    <w:rsid w:val="000A4945"/>
    <w:rsid w:val="000A5283"/>
    <w:rsid w:val="000B31E1"/>
    <w:rsid w:val="000C25F0"/>
    <w:rsid w:val="000F0698"/>
    <w:rsid w:val="0011356B"/>
    <w:rsid w:val="00117DBD"/>
    <w:rsid w:val="00124403"/>
    <w:rsid w:val="0013337F"/>
    <w:rsid w:val="00152950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C2CE8"/>
    <w:rsid w:val="002D78C9"/>
    <w:rsid w:val="002E2E02"/>
    <w:rsid w:val="002F663C"/>
    <w:rsid w:val="00305F12"/>
    <w:rsid w:val="003156C6"/>
    <w:rsid w:val="00327D40"/>
    <w:rsid w:val="00335575"/>
    <w:rsid w:val="003572B4"/>
    <w:rsid w:val="00360937"/>
    <w:rsid w:val="00361401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914D0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17AD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3987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2E46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B7715"/>
    <w:rsid w:val="00EC74B2"/>
    <w:rsid w:val="00ED1D47"/>
    <w:rsid w:val="00ED54E0"/>
    <w:rsid w:val="00EE587D"/>
    <w:rsid w:val="00EF639C"/>
    <w:rsid w:val="00EF68C9"/>
    <w:rsid w:val="00F020D4"/>
    <w:rsid w:val="00F04A9D"/>
    <w:rsid w:val="00F05F0C"/>
    <w:rsid w:val="00F32397"/>
    <w:rsid w:val="00F40595"/>
    <w:rsid w:val="00F42FD9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C2A4D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">
    <w:name w:val="Hashtag"/>
    <w:basedOn w:val="Fuentedeprrafopredeter"/>
    <w:uiPriority w:val="99"/>
    <w:rsid w:val="002C2CE8"/>
    <w:rPr>
      <w:color w:val="2B579A"/>
      <w:shd w:val="clear" w:color="auto" w:fill="E1DFDD"/>
    </w:rPr>
  </w:style>
  <w:style w:type="character" w:customStyle="1" w:styleId="Mention">
    <w:name w:val="Mention"/>
    <w:basedOn w:val="Fuentedeprrafopredeter"/>
    <w:uiPriority w:val="99"/>
    <w:rsid w:val="002C2CE8"/>
    <w:rPr>
      <w:color w:val="2B579A"/>
      <w:shd w:val="clear" w:color="auto" w:fill="E1DFDD"/>
    </w:rPr>
  </w:style>
  <w:style w:type="character" w:customStyle="1" w:styleId="SmartHyperlink">
    <w:name w:val="Smart Hyperlink"/>
    <w:basedOn w:val="Fuentedeprrafopredeter"/>
    <w:uiPriority w:val="99"/>
    <w:rsid w:val="002C2CE8"/>
    <w:rPr>
      <w:u w:val="dotted"/>
    </w:rPr>
  </w:style>
  <w:style w:type="character" w:customStyle="1" w:styleId="SmartLink">
    <w:name w:val="Smart Link"/>
    <w:basedOn w:val="Fuentedeprrafopredeter"/>
    <w:uiPriority w:val="99"/>
    <w:rsid w:val="002C2CE8"/>
    <w:rPr>
      <w:color w:val="0000FF"/>
      <w:u w:val="single"/>
      <w:shd w:val="clear" w:color="auto" w:fill="F3F2F1"/>
    </w:rPr>
  </w:style>
  <w:style w:type="character" w:customStyle="1" w:styleId="UnresolvedMention">
    <w:name w:val="Unresolved Mention"/>
    <w:basedOn w:val="Fuentedeprrafopredeter"/>
    <w:uiPriority w:val="99"/>
    <w:rsid w:val="002C2C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2021-02-19T16:55:00Z</dcterms:created>
  <dcterms:modified xsi:type="dcterms:W3CDTF">2021-02-19T16:55:00Z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939f0d68-08c0-413d-a8ae-c3d1c1ad74e3</vt:lpwstr>
  </property>
  <property fmtid="{D5CDD505-2E9C-101B-9397-08002B2CF9AE}" pid="3" name="WTOCLASSIFICATION">
    <vt:lpwstr>WTO OFFICIAL</vt:lpwstr>
  </property>
</Properties>
</file>