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A2018A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A2018A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DA6E7F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A2018A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2F1464" w:rsidRPr="003A3E55" w:rsidRDefault="00A2018A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:rsidR="00A52F73" w:rsidRPr="003A3E55" w:rsidRDefault="00A2018A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2F1464" w:rsidRPr="003A3E55" w:rsidRDefault="00A2018A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el procedimiento interno para la aplicación de las Decisiones Andinas referentes a la obtención de la Notificación Sanitaria Obligatoria. Además el procedimiento para las solicitudes de reconocimiento, renovación, modificación de la información y para acogerse a un código de NSO existente (importador paralelo, aplica sólo para cosméticos); la obtención de la autorización de muestras sin fines comerciales, la obtención voluntaria del Certificado de Buenas Prácticas de Manufactura – BPM, la obtención del certificado de libre venta o certificado de exportación, obtención del permiso de funcionamiento; así como la donación en casos de emergencia de los productos cosméticos, productos de higiene doméstica y productos absorbentes de higiene personal. Las disposiciones contenidas en la presente normativa técnica aplican a todas las personas naturales o jurídicas, nacionales o extranjeras, instalados en el territorio nacional que fabrican, almacenan, envasan, empacan, acondicionan, maquilan, expendan, importan, exportan, distribuyen y comercializan productos cosméticos, productos de higiene doméstica y productos </w:t>
            </w:r>
            <w:r w:rsidR="00AF251E" w:rsidRPr="003A3E55">
              <w:lastRenderedPageBreak/>
              <w:t>absorbentes de higiene personal.</w:t>
            </w:r>
            <w:bookmarkStart w:id="20" w:name="sps3a"/>
            <w:bookmarkEnd w:id="20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Reforma a la Resolución ARCSA-DE-006-2017-CFMR Normativa Técnica Sanitaria para productos cosméticos, productos de higiene doméstica, productos absorbentes de higiene personal (34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el procedimiento interno para la aplicación de las Decisiones Andinas referentes a la obtención de la Notificación Sanitaria Obligatoria. Además el procedimiento para las solicitudes de reconocimiento, renovación, modificación de la información y para acogerse a un código de NSO existente (importador paralelo, aplica sólo para cosméticos); la obtención de la autorización de muestras sin fines comerciales, la obtención voluntaria del Certificado de Buenas Prácticas de Manufactura – BPM, la obtención del certificado de libre venta o certificado de exportación, obtención del permiso de funcionamiento; así como la donación en casos de emergencia de los productos cosméticos, productos de higiene doméstica y productos absorbentes de higiene personal.</w:t>
            </w:r>
          </w:p>
          <w:p w:rsidR="00AF251E" w:rsidRPr="003A3E55" w:rsidRDefault="00A2018A" w:rsidP="003A3E55">
            <w:pPr>
              <w:spacing w:after="120"/>
            </w:pPr>
            <w:r w:rsidRPr="003A3E55">
              <w:t>Las disposiciones contenidas en la presente normativa técnica aplican a todas las personas naturales o jurídicas, nacionales o extranjeras, instalados en el territorio nacional que fabrican, almacenan, envasan, empacan, acondicionan, maquilan, expendan, importan, exportan, distribuyen y comercializan productos cosméticos, productos de higiene doméstica y productos absorbentes de higiene personal.</w:t>
            </w:r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A2018A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A2018A" w:rsidP="00617B12">
            <w:pPr>
              <w:spacing w:before="120" w:after="120"/>
            </w:pPr>
            <w:r w:rsidRPr="003A3E55">
              <w:t>-</w:t>
            </w:r>
          </w:p>
        </w:tc>
      </w:tr>
      <w:tr w:rsidR="00DA6E7F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A2018A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:rsidR="00AF251E" w:rsidRPr="003A3E55" w:rsidRDefault="00A2018A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A2018A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DA6E7F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2018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A2018A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2F1464" w:rsidRPr="003A3E55" w:rsidRDefault="00A2018A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3A3E55">
              <w:rPr>
                <w:bCs/>
              </w:rPr>
              <w:br/>
            </w:r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:rsidR="002F1464" w:rsidRPr="003A3E55" w:rsidRDefault="002743A8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A2018A" w:rsidRPr="003A3E55">
                <w:rPr>
                  <w:bCs/>
                  <w:color w:val="0000FF"/>
                  <w:u w:val="single"/>
                </w:rPr>
                <w:t>https://members.wto.org/crnattachments/2021/TBT/ECU/21_2509_00_s.pdf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78" w:rsidRDefault="00132878">
      <w:r>
        <w:separator/>
      </w:r>
    </w:p>
  </w:endnote>
  <w:endnote w:type="continuationSeparator" w:id="1">
    <w:p w:rsidR="00132878" w:rsidRDefault="001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A2018A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A2018A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A2018A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78" w:rsidRDefault="00132878">
      <w:r>
        <w:separator/>
      </w:r>
    </w:p>
  </w:footnote>
  <w:footnote w:type="continuationSeparator" w:id="1">
    <w:p w:rsidR="00132878" w:rsidRDefault="001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A2018A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A2018A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2743A8" w:rsidRPr="003A3E55">
      <w:fldChar w:fldCharType="begin"/>
    </w:r>
    <w:r w:rsidRPr="003A3E55">
      <w:instrText xml:space="preserve"> PAGE </w:instrText>
    </w:r>
    <w:r w:rsidR="002743A8" w:rsidRPr="003A3E55">
      <w:fldChar w:fldCharType="separate"/>
    </w:r>
    <w:r w:rsidRPr="003A3E55">
      <w:t>1</w:t>
    </w:r>
    <w:r w:rsidR="002743A8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A2018A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G/TBT/N/ECU/502</w:t>
    </w:r>
    <w:bookmarkEnd w:id="40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A2018A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2743A8" w:rsidRPr="003A3E55">
      <w:fldChar w:fldCharType="begin"/>
    </w:r>
    <w:r w:rsidRPr="003A3E55">
      <w:instrText xml:space="preserve"> PAGE </w:instrText>
    </w:r>
    <w:r w:rsidR="002743A8" w:rsidRPr="003A3E55">
      <w:fldChar w:fldCharType="separate"/>
    </w:r>
    <w:r w:rsidR="00FB0435">
      <w:rPr>
        <w:noProof/>
      </w:rPr>
      <w:t>2</w:t>
    </w:r>
    <w:r w:rsidR="002743A8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DA6E7F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1"/>
    </w:tr>
    <w:tr w:rsidR="00DA6E7F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A2018A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2328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A6E7F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A2018A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G/TBT/N/ECU/502</w:t>
          </w:r>
          <w:bookmarkEnd w:id="42"/>
        </w:p>
      </w:tc>
    </w:tr>
    <w:tr w:rsidR="00DA6E7F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A2018A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8 de abril de 2021</w:t>
          </w:r>
        </w:p>
      </w:tc>
    </w:tr>
    <w:tr w:rsidR="00DA6E7F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2018A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425998">
            <w:rPr>
              <w:color w:val="FF0000"/>
              <w:szCs w:val="18"/>
            </w:rPr>
            <w:t>2909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A2018A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="002743A8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2743A8" w:rsidRPr="003A3E55">
            <w:rPr>
              <w:szCs w:val="18"/>
            </w:rPr>
            <w:fldChar w:fldCharType="separate"/>
          </w:r>
          <w:r w:rsidR="00FB0435">
            <w:rPr>
              <w:bCs/>
              <w:noProof/>
              <w:szCs w:val="18"/>
            </w:rPr>
            <w:t>1</w:t>
          </w:r>
          <w:r w:rsidR="002743A8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FB0435">
              <w:rPr>
                <w:bCs/>
                <w:noProof/>
                <w:szCs w:val="18"/>
              </w:rPr>
              <w:t>1</w:t>
            </w:r>
          </w:fldSimple>
          <w:bookmarkEnd w:id="47"/>
        </w:p>
      </w:tc>
    </w:tr>
    <w:tr w:rsidR="00DA6E7F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A2018A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A2018A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50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2AE0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6205C2" w:tentative="1">
      <w:start w:val="1"/>
      <w:numFmt w:val="lowerLetter"/>
      <w:lvlText w:val="%2."/>
      <w:lvlJc w:val="left"/>
      <w:pPr>
        <w:ind w:left="1080" w:hanging="360"/>
      </w:pPr>
    </w:lvl>
    <w:lvl w:ilvl="2" w:tplc="474E1302" w:tentative="1">
      <w:start w:val="1"/>
      <w:numFmt w:val="lowerRoman"/>
      <w:lvlText w:val="%3."/>
      <w:lvlJc w:val="right"/>
      <w:pPr>
        <w:ind w:left="1800" w:hanging="180"/>
      </w:pPr>
    </w:lvl>
    <w:lvl w:ilvl="3" w:tplc="76AAE0F8" w:tentative="1">
      <w:start w:val="1"/>
      <w:numFmt w:val="decimal"/>
      <w:lvlText w:val="%4."/>
      <w:lvlJc w:val="left"/>
      <w:pPr>
        <w:ind w:left="2520" w:hanging="360"/>
      </w:pPr>
    </w:lvl>
    <w:lvl w:ilvl="4" w:tplc="2488E28C" w:tentative="1">
      <w:start w:val="1"/>
      <w:numFmt w:val="lowerLetter"/>
      <w:lvlText w:val="%5."/>
      <w:lvlJc w:val="left"/>
      <w:pPr>
        <w:ind w:left="3240" w:hanging="360"/>
      </w:pPr>
    </w:lvl>
    <w:lvl w:ilvl="5" w:tplc="C1488212" w:tentative="1">
      <w:start w:val="1"/>
      <w:numFmt w:val="lowerRoman"/>
      <w:lvlText w:val="%6."/>
      <w:lvlJc w:val="right"/>
      <w:pPr>
        <w:ind w:left="3960" w:hanging="180"/>
      </w:pPr>
    </w:lvl>
    <w:lvl w:ilvl="6" w:tplc="5DD4ED5E" w:tentative="1">
      <w:start w:val="1"/>
      <w:numFmt w:val="decimal"/>
      <w:lvlText w:val="%7."/>
      <w:lvlJc w:val="left"/>
      <w:pPr>
        <w:ind w:left="4680" w:hanging="360"/>
      </w:pPr>
    </w:lvl>
    <w:lvl w:ilvl="7" w:tplc="E54E9BEA" w:tentative="1">
      <w:start w:val="1"/>
      <w:numFmt w:val="lowerLetter"/>
      <w:lvlText w:val="%8."/>
      <w:lvlJc w:val="left"/>
      <w:pPr>
        <w:ind w:left="5400" w:hanging="360"/>
      </w:pPr>
    </w:lvl>
    <w:lvl w:ilvl="8" w:tplc="CD389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2878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43A8"/>
    <w:rsid w:val="00276383"/>
    <w:rsid w:val="00287066"/>
    <w:rsid w:val="002B0C97"/>
    <w:rsid w:val="002E4A00"/>
    <w:rsid w:val="002F1464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5998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0597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018A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A6E7F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28BA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0435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509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2021-04-08T16:38:00Z</dcterms:created>
  <dcterms:modified xsi:type="dcterms:W3CDTF">2021-04-08T16:38:00Z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a8099f56-57c0-443d-9dd4-cb23d877fa12</vt:lpwstr>
  </property>
  <property fmtid="{D5CDD505-2E9C-101B-9397-08002B2CF9AE}" pid="4" name="WTOCLASSIFICATION">
    <vt:lpwstr>WTO OFFICIAL</vt:lpwstr>
  </property>
</Properties>
</file>